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Suggested Reviewers for EHPM R3 Submission</w:t>
      </w:r>
    </w:p>
    <w:p/>
    <w:p>
      <w:r>
        <w:rPr>
          <w:b/>
        </w:rPr>
        <w:t>1. Ryuta Ray Kato</w:t>
      </w:r>
    </w:p>
    <w:p>
      <w:r>
        <w:t xml:space="preserve">   Institution: Professor, Graduate School of Governance Studies, Meiji University, Tokyo, Japan</w:t>
      </w:r>
    </w:p>
    <w:p>
      <w:r>
        <w:t xml:space="preserve">   E-mail: raykato@meiji.ac.jp</w:t>
      </w:r>
    </w:p>
    <w:p>
      <w:r>
        <w:t xml:space="preserve">   Expertise: Public economics, macroeconomics, computable general equilibrium, input-output analysis, fiscal deficits, social security, and aging in Japan</w:t>
      </w:r>
    </w:p>
    <w:p/>
    <w:p>
      <w:r>
        <w:rPr>
          <w:b/>
        </w:rPr>
        <w:t>2. Haruko Noguchi</w:t>
      </w:r>
    </w:p>
    <w:p>
      <w:r>
        <w:t xml:space="preserve">   Institution: Professor, Faculty of Political Science and Economics, Waseda University, Tokyo, Japan</w:t>
      </w:r>
    </w:p>
    <w:p>
      <w:r>
        <w:t xml:space="preserve">   E-mail: h.noguchi@waseda.jp</w:t>
      </w:r>
    </w:p>
    <w:p>
      <w:r>
        <w:t xml:space="preserve">   Expertise: Health economics, applied microeconometrics, social security, and healthcare policy in Japan</w:t>
      </w:r>
    </w:p>
    <w:p/>
    <w:p>
      <w:r>
        <w:rPr>
          <w:b/>
        </w:rPr>
        <w:t>3. Frederik T. (Erik) Schut</w:t>
      </w:r>
    </w:p>
    <w:p>
      <w:r>
        <w:t xml:space="preserve">   Institution: Professor of Health Economics and Health Policy, Erasmus School of Health Policy and Management, Erasmus University Rotterdam, the Netherlands</w:t>
      </w:r>
    </w:p>
    <w:p>
      <w:r>
        <w:t xml:space="preserve">   E-mail: schut@eshpm.eur.nl</w:t>
      </w:r>
    </w:p>
    <w:p>
      <w:r>
        <w:t xml:space="preserve">   Expertise: Health economics, health policy, health-system financing, and OECD cross-country comparisons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