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3432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tested robustness to population density and anaesthesiologist supply, log-transformed ratios, and an upper-bound audit-rate impact.</w:t>
      </w:r>
    </w:p>
    <w:p>
      <w:r>
        <w:rPr>
          <w:rFonts w:ascii="Times New Roman" w:hAnsi="Times New Roman"/>
          <w:sz w:val="24"/>
        </w:rPr>
        <w:t>Results: Coefficients of variation ranged from 53.7% to 87.2%. For general anaesthesia, only 5.8% of variance lay between prefectures; university hospital presence explained 35.8% of total variance (P &lt; 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efforts may need to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policy;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which is an equity problem under universal coverage. Because the FY2022 data predate the 2026 clarification of the general-anaesthesia billing code, any coding ambiguity that existed during the study period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w:t>
      </w:r>
      <w:r>
        <w:rPr>
          <w:rFonts w:ascii="Cambria Math" w:hAnsi="Cambria Math"/>
          <w:sz w:val="24"/>
        </w:rPr>
        <m:oMath>
          <m:r>
            <m:rPr>
              <m:sty m:val="p"/>
            </m:rPr>
            <m:t xml:space="preserve">100 × (O / E)</m:t>
          </m:r>
        </m:oMath>
      </w:r>
      <w:r>
        <w:rPr>
          <w:rFonts w:ascii="Times New Roman" w:hAnsi="Times New Roman"/>
          <w:sz w:val="24"/>
        </w:rPr>
        <w:t>, where O and E are the observed and expected claim counts.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R²) measured the decrease in total (prefecture-level plus residual) variance after adding the university-hospital fixed effect. We conducted the following sensitivity and robustness analyses: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To examine the audit hypothesis specifically, we used the multilevel variance decomposition, pairwise correlations between codes, an upper-bound estimate of the maximum prefectural audit-rate impact, and a combined general/spinal anaesthesia measure.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L008 = closed-circuit general anaesthesia; L002 = epidural anaesthesia as main technique; L003 = continuous epidural infusion, largely billed as an adjunct to general anaesthesia; L004 = spinal anaesthesia.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(35.8%; β = +64.1, 95% confidence interval 54.8 to 73.4) and was statistically significant for every code (all P &lt; 0.001) (Table 2). A log-transformed sensitivity model yielded the same direction of association for general anaesthesia (β = 0.75, 95% CI 0.61 to 0.89, P &lt; 0.001), supporting the robustness of the linear model findings to right-skewed ratios and extreme outliers. University hospital areas had higher general anaesthesia ratios than non-university areas in all 47 prefectures, with a mean within-prefecture difference of +63.3 points (t = 13.28, P &lt; 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 0.001), epidural anaesthesia (β = +39.1, 95% CI 14.5 to 63.7, P = 0.002) and continuous epidural infusion (β = +33.9, 95% CI 20.0 to 47.7, P &lt; 0.001). For spinal anaesthesia the point estimate was positive but no longer statistically significant (β = +9.7, 95% CI -4.0 to 23.3, P = 0.165). Population density was positively associated with general anaesthesia ratios (β = 8.3, P &lt; 0.001) but not with the other three codes. The anaesthesiologist share was positively associated with general, epidural, continuous epidural and spinal anaesthesia (general P &lt; 0.001, epidural P = 0.039, continuous epidural P &lt; 0.001 and spinal P = 0.005).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spacing w:before="160" w:after="80"/>
      </w:pPr>
      <w:r>
        <w:rPr>
          <w:rFonts w:ascii="Times New Roman" w:hAnsi="Times New Roman"/>
          <w:b/>
          <w:sz w:val="24"/>
        </w:rPr>
        <w:t>3.3 Checks against the audit hypothesis</w:t>
      </w:r>
    </w:p>
    <w:p>
      <w:r>
        <w:rPr>
          <w:rFonts w:ascii="Times New Roman" w:hAnsi="Times New Roman"/>
          <w:sz w:val="24"/>
        </w:rPr>
        <w:t>Several lines of evidence pointed away from differential auditing as the main explanation. First, the multilevel model estimates that only 5.8% of general anaesthesia variance lies between prefectures, where audit policy differs, so differential auditing can account for at most a small share of observed variation. University hospital presence explained 35.8% of total variance in the same model, a structural component far larger than the between-prefecture share. Second, general and spinal anaesthesia were positively correlated (r = 0.235, P &lt; 0.001), as were general and epidural anaesthesia (r = 0.319, P &lt; 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erased as an artefact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moderate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The audit-sensitivity checks and robustness analyses pointed away from differential auditing as the main explanation. Because the outcome is a reimbursed claim ratio, the observed gradient reflects billed service delivery rather than bedside intention; however, the within-prefecture structure of the data and the audit-sensitivity analyses make it unlikely that differential scrutiny is the full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may warrant targeting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potential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suggests a potential equity gap: patients' access to techniques that may improve recovery appears to depend on whether they live near a university hospital. Third, regulators may be better served by addressing workforce and organisational determinants of anaesthesia service delivery rather than treating low regional ratios primarily as coding or fraud issues.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 service-delivery gradient that reflects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would benefit from separating administrative from structural sources before interpreting claims data as care variation or a coding issue.</w:t>
      </w:r>
    </w:p>
    <w:p>
      <w:pPr>
        <w:spacing w:before="240" w:after="120"/>
      </w:pPr>
      <w:r>
        <w:rPr>
          <w:rFonts w:ascii="Times New Roman" w:hAnsi="Times New Roman"/>
          <w:b/>
          <w:sz w:val="26"/>
        </w:rPr>
        <w:t>6. RESEARCH IN CONTEXT</w:t>
      </w:r>
    </w:p>
    <w:p>
      <w:pPr>
        <w:pStyle w:val="ListBullet"/>
      </w:pPr>
      <w:r>
        <w:rPr>
          <w:rFonts w:ascii="Times New Roman" w:hAnsi="Times New Roman"/>
          <w:sz w:val="24"/>
        </w:rPr>
        <w:t>What is already known: Geographic variation in anaesthesia technique is well documented, but few studies have separated structural access to care from administrative coding and auditing effects in universal-coverage systems.</w:t>
      </w:r>
    </w:p>
    <w:p>
      <w:pPr>
        <w:pStyle w:val="ListBullet"/>
      </w:pPr>
      <w:r>
        <w:rPr>
          <w:rFonts w:ascii="Times New Roman" w:hAnsi="Times New Roman"/>
          <w:sz w:val="24"/>
        </w:rPr>
        <w:t>What this study adds: Across Japan's 335 secondary medical areas, university-hospital proximity was associated with large differences in standardised claim ratios, whereas prefectural claims-audit differences explained only a small share of variance.</w:t>
      </w:r>
    </w:p>
    <w:p>
      <w:pPr>
        <w:pStyle w:val="ListBullet"/>
      </w:pPr>
      <w:r>
        <w:rPr>
          <w:rFonts w:ascii="Times New Roman" w:hAnsi="Times New Roman"/>
          <w:sz w:val="24"/>
        </w:rPr>
        <w:t>What are the implications of these findings: Administrative claims can be used as a surveillance signal for perioperative variation in universal coverage settings, but low regional ratios should prompt review of workforce and organisational access before being treated as coding or fraud issues.</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