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From batch to bag: Montmorillonite-based portable sachets as a consumer-side decaffeination paradigm</w:t>
      </w:r>
    </w:p>
    <w:p>
      <w:pPr>
        <w:spacing w:after="120"/>
        <w:jc w:val="center"/>
      </w:pPr>
      <w:r>
        <w:rPr>
          <w:sz w:val="24"/>
        </w:rPr>
        <w:t>Tatsuki Onishi</w:t>
      </w:r>
    </w:p>
    <w:p>
      <w:pPr>
        <w:spacing w:after="240"/>
        <w:jc w:val="center"/>
      </w:pPr>
      <w:r>
        <w:rPr>
          <w:i/>
          <w:sz w:val="20"/>
        </w:rPr>
        <w:t>[Affiliation to be added]</w:t>
      </w:r>
    </w:p>
    <w:p>
      <w:pPr>
        <w:spacing w:after="120"/>
      </w:pPr>
      <w:r>
        <w:rPr>
          <w:b/>
          <w:sz w:val="22"/>
        </w:rPr>
        <w:t>Highlights</w:t>
      </w:r>
    </w:p>
    <w:p>
      <w:pPr>
        <w:pStyle w:val="ListBullet"/>
      </w:pPr>
      <w:r>
        <w:rPr>
          <w:sz w:val="20"/>
        </w:rPr>
        <w:t>Montmorillonite selectively removes &gt;96% caffeine while retaining polyphenols</w:t>
      </w:r>
    </w:p>
    <w:p>
      <w:pPr>
        <w:pStyle w:val="ListBullet"/>
      </w:pPr>
      <w:r>
        <w:rPr>
          <w:sz w:val="20"/>
        </w:rPr>
        <w:t>Industrial validation exists via Kirin's commercial product since 2014</w:t>
      </w:r>
    </w:p>
    <w:p>
      <w:pPr>
        <w:pStyle w:val="ListBullet"/>
      </w:pPr>
      <w:r>
        <w:rPr>
          <w:sz w:val="20"/>
        </w:rPr>
        <w:t>A portable sachet format could shift decaffeination to point of consumption</w:t>
      </w:r>
    </w:p>
    <w:p>
      <w:pPr>
        <w:pStyle w:val="ListBullet"/>
      </w:pPr>
      <w:r>
        <w:rPr>
          <w:sz w:val="20"/>
        </w:rPr>
        <w:t>Ion-exchange modification enhances adsorption capacity by 1.6-fold</w:t>
      </w:r>
    </w:p>
    <w:p>
      <w:pPr>
        <w:pStyle w:val="ListBullet"/>
      </w:pPr>
      <w:r>
        <w:rPr>
          <w:sz w:val="20"/>
        </w:rPr>
        <w:t>FDA GRAS status and EU approval ensure regulatory pathway clarity</w:t>
      </w:r>
    </w:p>
    <w:p/>
    <w:p>
      <w:pPr>
        <w:spacing w:after="360"/>
      </w:pPr>
      <w:r>
        <w:rPr>
          <w:b/>
          <w:sz w:val="20"/>
        </w:rPr>
        <w:t xml:space="preserve">Keywords: </w:t>
      </w:r>
      <w:r>
        <w:rPr>
          <w:sz w:val="20"/>
        </w:rPr>
        <w:t>Montmorillonite; Caffeine adsorption; Selective decaffeination; Consumer technology; Clay mineral; Food processing aid</w:t>
      </w:r>
    </w:p>
    <w:p>
      <w:pPr>
        <w:pStyle w:val="Heading1"/>
        <w:spacing w:before="360" w:after="120"/>
      </w:pPr>
      <w:r>
        <w:t>Abstract</w:t>
      </w:r>
    </w:p>
    <w:p>
      <w:pPr>
        <w:spacing w:line="480" w:lineRule="auto" w:after="120"/>
      </w:pPr>
      <w:r>
        <w:rPr>
          <w:sz w:val="22"/>
        </w:rPr>
        <w:t>Decaffeination has remained exclusively a manufacturer-side process for over a century, requiring industrial-scale solvent extraction, supercritical CO2, or activated carbon treatment of raw materials before retail. This Commentary proposes a paradigm shift: consumer-side decaffeination enabled by montmorillonite (MMT) sachets at point of consumption. MMT, a layered aluminosilicate clay mineral with FDA GRAS status (21 CFR 184.1155), selectively adsorbs caffeine (96.5% removal within 5 min) from tea and coffee extracts without significant binding to catechins or other polyphenols — a selectivity commercially validated since 2014 in Kirin Beverage Company's 'Caffeine Clear' process. We argue that encapsulating food-grade MMT granules in a porous sachet (tea bag format) creates a viable portable decaffeination device, supported by rapid kinetics, temperature/pH robustness (5–35 °C, pH 6–8), and ion-exchange tunability (Al3+ substitution yields 1.6-fold capacity enhancement). This approach addresses a significant unmet consumer need — the inability to decaffeinate beverages in out-of-home settings — while preserving health-promoting polyphenols that conventional methods sacrifice. We discuss the scientific basis, engineering considerations, regulatory landscape, and remaining challenges for translating this industrially proven technology into a consumer product format.</w:t>
      </w:r>
    </w:p>
    <w:p>
      <w:pPr>
        <w:pStyle w:val="Heading2"/>
        <w:spacing w:before="360" w:after="120"/>
      </w:pPr>
      <w:r>
        <w:t>1. The decaffeination gap: an unmet consumer need</w:t>
      </w:r>
    </w:p>
    <w:p>
      <w:pPr>
        <w:spacing w:line="480" w:lineRule="auto" w:after="120"/>
      </w:pPr>
      <w:r>
        <w:rPr>
          <w:sz w:val="22"/>
        </w:rPr>
        <w:t>Caffeine (1,3,7-trimethylxanthine) is consumed daily by over 80% of the global adult population, primarily through tea, coffee, and energy drinks.</w:t>
      </w:r>
      <w:r>
        <w:rPr>
          <w:sz w:val="18"/>
          <w:vertAlign w:val="superscript"/>
        </w:rPr>
        <w:t>1</w:t>
      </w:r>
      <w:r>
        <w:rPr>
          <w:sz w:val="22"/>
        </w:rPr>
        <w:t xml:space="preserve"> While moderate intake (up to 400 mg/day) is considered safe for healthy adults, substantial populations require caffeine restriction: pregnant and lactating women (WHO recommends &lt;200 mg/day), individuals with generalized anxiety disorder, patients with cardiac arrhythmias, and carriers of slow-metabolizer CYP1A2 variants — collectively representing an estimated 15–25% of the adult population in developed nations.</w:t>
      </w:r>
      <w:r>
        <w:rPr>
          <w:sz w:val="18"/>
          <w:vertAlign w:val="superscript"/>
        </w:rPr>
        <w:t>2,3,4</w:t>
      </w:r>
      <w:r>
        <w:rPr>
          <w:sz w:val="22"/>
        </w:rPr>
      </w:r>
    </w:p>
    <w:p>
      <w:pPr>
        <w:spacing w:line="480" w:lineRule="auto" w:after="120"/>
      </w:pPr>
      <w:r>
        <w:rPr>
          <w:sz w:val="22"/>
        </w:rPr>
        <w:t>The global decaffeinated beverage market, valued at USD 2.7 billion in 2023, reflects this demand.</w:t>
      </w:r>
      <w:r>
        <w:rPr>
          <w:sz w:val="18"/>
          <w:vertAlign w:val="superscript"/>
        </w:rPr>
        <w:t>5</w:t>
      </w:r>
      <w:r>
        <w:rPr>
          <w:sz w:val="22"/>
        </w:rPr>
        <w:t xml:space="preserve"> However, a fundamental structural limitation persists: all current decaffeination technologies operate exclusively at the manufacturing stage.</w:t>
      </w:r>
      <w:r>
        <w:rPr>
          <w:sz w:val="18"/>
          <w:vertAlign w:val="superscript"/>
        </w:rPr>
        <w:t>6</w:t>
      </w:r>
      <w:r>
        <w:rPr>
          <w:sz w:val="22"/>
        </w:rPr>
        <w:t xml:space="preserve"> Organic solvent extraction (dichloromethane, ethyl acetate), supercritical CO2 processing, and activated carbon adsorption are applied to raw materials — green coffee beans or tea leaves — before retail distribution. Consumers are therefore entirely dependent on pre-manufactured decaffeinated products.</w:t>
      </w:r>
    </w:p>
    <w:p>
      <w:pPr>
        <w:spacing w:line="480" w:lineRule="auto" w:after="120"/>
      </w:pPr>
      <w:r>
        <w:rPr>
          <w:sz w:val="22"/>
        </w:rPr>
        <w:t>In out-of-home settings (restaurants, cafés, conferences, airlines), decaffeinated options are frequently unavailable, limited to a single variety, or perceived as inferior in taste.</w:t>
      </w:r>
      <w:r>
        <w:rPr>
          <w:sz w:val="18"/>
          <w:vertAlign w:val="superscript"/>
        </w:rPr>
        <w:t>7</w:t>
      </w:r>
      <w:r>
        <w:rPr>
          <w:sz w:val="22"/>
        </w:rPr>
        <w:t xml:space="preserve"> A consumer survey across Japan found that 42% of respondents wished to reduce caffeine intake, rising to 51% among women, yet existing infrastructure offers no mechanism for individual caffeine management at point of consumption.</w:t>
      </w:r>
      <w:r>
        <w:rPr>
          <w:sz w:val="18"/>
          <w:vertAlign w:val="superscript"/>
        </w:rPr>
        <w:t>8</w:t>
      </w:r>
      <w:r>
        <w:rPr>
          <w:sz w:val="22"/>
        </w:rPr>
        <w:t xml:space="preserve"> This gap represents both a public health opportunity and a commercial white space.</w:t>
      </w:r>
    </w:p>
    <w:p>
      <w:pPr>
        <w:pStyle w:val="Heading2"/>
        <w:spacing w:before="360" w:after="120"/>
      </w:pPr>
      <w:r>
        <w:t>2. Montmorillonite: the case for a clay mineral solution</w:t>
      </w:r>
    </w:p>
    <w:p>
      <w:pPr>
        <w:spacing w:line="480" w:lineRule="auto" w:after="120"/>
      </w:pPr>
      <w:r>
        <w:rPr>
          <w:sz w:val="22"/>
        </w:rPr>
        <w:t>Montmorillonite (MMT) is a 2:1 layered aluminosilicate belonging to the smectite group, composed of an octahedral alumina sheet sandwiched between two tetrahedral silica sheets, with exchangeable cations in the interlayer space.</w:t>
      </w:r>
      <w:r>
        <w:rPr>
          <w:sz w:val="18"/>
          <w:vertAlign w:val="superscript"/>
        </w:rPr>
        <w:t>9</w:t>
      </w:r>
      <w:r>
        <w:rPr>
          <w:sz w:val="22"/>
        </w:rPr>
        <w:t xml:space="preserve"> Its application in food processing is well established: wine and juice clarification, oil bleaching, and as a food-grade processing aid across regulatory jurisdictions (FDA GRAS under 21 CFR 184.1155; EU-approved as E558; listed in Japan's Existing Food Additives catalogue).</w:t>
      </w:r>
      <w:r>
        <w:rPr>
          <w:sz w:val="18"/>
          <w:vertAlign w:val="superscript"/>
        </w:rPr>
        <w:t>10,11,12</w:t>
      </w:r>
      <w:r>
        <w:rPr>
          <w:sz w:val="22"/>
        </w:rPr>
      </w:r>
    </w:p>
    <w:p>
      <w:pPr>
        <w:spacing w:line="480" w:lineRule="auto" w:after="120"/>
      </w:pPr>
      <w:r>
        <w:rPr>
          <w:sz w:val="22"/>
        </w:rPr>
        <w:t>The pivotal discovery for the present discussion came from systematic screening of approximately 100 food-permitted adsorbents by researchers at Kirin Company: MMT emerged as uniquely selective for caffeine.</w:t>
      </w:r>
      <w:r>
        <w:rPr>
          <w:sz w:val="18"/>
          <w:vertAlign w:val="superscript"/>
        </w:rPr>
        <w:t>13</w:t>
      </w:r>
      <w:r>
        <w:rPr>
          <w:sz w:val="22"/>
        </w:rPr>
        <w:t xml:space="preserve"> Shiono et al. demonstrated that MMT achieves 96.5% caffeine removal from green tea extract while retaining &gt;95% of catechins (epigallocatechin gallate, epicatechin gallate, epigallocatechin, epicatechin).</w:t>
      </w:r>
      <w:r>
        <w:rPr>
          <w:sz w:val="18"/>
          <w:vertAlign w:val="superscript"/>
        </w:rPr>
        <w:t>13</w:t>
      </w:r>
      <w:r>
        <w:rPr>
          <w:sz w:val="22"/>
        </w:rPr>
        <w:t xml:space="preserve"> By contrast, activated carbon — the only other food-permitted adsorbent showing comparable caffeine removal — simultaneously eliminated catechins, theaflavins, and other polyphenols, degrading both health functionality and organoleptic quality (Fig. 1).</w:t>
      </w:r>
      <w:r>
        <w:rPr>
          <w:sz w:val="18"/>
          <w:vertAlign w:val="superscript"/>
        </w:rPr>
        <w:t>13</w:t>
      </w:r>
      <w:r>
        <w:rPr>
          <w:sz w:val="22"/>
        </w:rPr>
      </w:r>
    </w:p>
    <w:p>
      <w:pPr>
        <w:spacing w:line="480" w:lineRule="auto" w:after="120"/>
      </w:pPr>
      <w:r>
        <w:rPr>
          <w:sz w:val="22"/>
        </w:rPr>
        <w:t>This selectivity was commercially validated in 2014 when Kirin Beverage Company launched 'Yasashisa Namacha Caffeine Zero' (やさしさ生茶 カフェインゼロ), the world's first caffeine-free PET-bottled green tea, using their proprietary 'Caffeine Clear' process based on MMT adsorption.</w:t>
      </w:r>
      <w:r>
        <w:rPr>
          <w:sz w:val="18"/>
          <w:vertAlign w:val="superscript"/>
        </w:rPr>
        <w:t>8,14</w:t>
      </w:r>
      <w:r>
        <w:rPr>
          <w:sz w:val="22"/>
        </w:rPr>
        <w:t xml:space="preserve"> The product achieved iTQi Crystal Taste Award recognition, confirming minimal taste alteration. This represents a decade of industrial-scale safety and efficacy data — an unusual level of de-risking for a proposed consumer product reformulation.</w:t>
      </w:r>
    </w:p>
    <w:p>
      <w:pPr>
        <w:pStyle w:val="Heading2"/>
        <w:spacing w:before="360" w:after="120"/>
      </w:pPr>
      <w:r>
        <w:t>3. Mechanism of selective caffeine adsorption</w:t>
      </w:r>
    </w:p>
    <w:p>
      <w:pPr>
        <w:spacing w:line="480" w:lineRule="auto" w:after="120"/>
      </w:pPr>
      <w:r>
        <w:rPr>
          <w:sz w:val="22"/>
        </w:rPr>
        <w:t>The molecular basis of MMT's caffeine selectivity involves three complementary mechanisms (Fig. 2):</w:t>
      </w:r>
    </w:p>
    <w:p>
      <w:pPr>
        <w:spacing w:line="480" w:lineRule="auto" w:after="120"/>
      </w:pPr>
      <w:r>
        <w:rPr>
          <w:b/>
          <w:sz w:val="22"/>
        </w:rPr>
        <w:t>Interlayer intercalation.</w:t>
      </w:r>
      <w:r>
        <w:rPr>
          <w:sz w:val="22"/>
        </w:rPr>
        <w:t xml:space="preserve"> X-ray diffraction (XRD) studies reveal that caffeine molecules (molecular weight 194.19 Da, planar dimensions ~0.8 × 0.6 nm) intercalate into the MMT interlayer nanospace. The basal spacing (d001) narrows to 1.09 nm after caffeine adsorption, with broadening of d001 peaks indicating disrupted layer stacking consistent with molecular insertion.</w:t>
      </w:r>
      <w:r>
        <w:rPr>
          <w:sz w:val="18"/>
          <w:vertAlign w:val="superscript"/>
        </w:rPr>
        <w:t>15</w:t>
      </w:r>
      <w:r>
        <w:rPr>
          <w:sz w:val="22"/>
        </w:rPr>
        <w:t xml:space="preserve"> Diffuse reflectance infrared Fourier transform spectroscopy (DRIFTS) confirms that adsorbed caffeine interacts specifically with Si–OH and siloxane functional groups on the clay surface.</w:t>
      </w:r>
      <w:r>
        <w:rPr>
          <w:sz w:val="18"/>
          <w:vertAlign w:val="superscript"/>
        </w:rPr>
        <w:t>15</w:t>
      </w:r>
      <w:r>
        <w:rPr>
          <w:sz w:val="22"/>
        </w:rPr>
      </w:r>
    </w:p>
    <w:p>
      <w:pPr>
        <w:spacing w:line="480" w:lineRule="auto" w:after="120"/>
      </w:pPr>
      <w:r>
        <w:rPr>
          <w:b/>
          <w:sz w:val="22"/>
        </w:rPr>
        <w:t>Electrostatic cation</w:t>
      </w:r>
      <w:r>
        <w:rPr>
          <w:sz w:val="22"/>
        </w:rPr>
        <w:t>–caffeine interaction. Molecular dynamics (MD) simulations demonstrate that caffeine adsorption occurs primarily via electrostatic interactions between the molecule's carbonyl oxygen atoms and interlayer cations, rather than with the basal planes of the clay.</w:t>
      </w:r>
      <w:r>
        <w:rPr>
          <w:sz w:val="18"/>
          <w:vertAlign w:val="superscript"/>
        </w:rPr>
        <w:t>16</w:t>
      </w:r>
      <w:r>
        <w:rPr>
          <w:sz w:val="22"/>
        </w:rPr>
        <w:t xml:space="preserve"> 23Na and 27Al magic-angle spinning NMR analyses confirm direct cation–caffeine coordination.</w:t>
      </w:r>
      <w:r>
        <w:rPr>
          <w:sz w:val="18"/>
          <w:vertAlign w:val="superscript"/>
        </w:rPr>
        <w:t>16</w:t>
      </w:r>
      <w:r>
        <w:rPr>
          <w:sz w:val="22"/>
        </w:rPr>
        <w:t xml:space="preserve"> This mechanism explains why cation identity profoundly influences adsorption capacity.</w:t>
      </w:r>
    </w:p>
    <w:p>
      <w:pPr>
        <w:spacing w:line="480" w:lineRule="auto" w:after="120"/>
      </w:pPr>
      <w:r>
        <w:rPr>
          <w:b/>
          <w:sz w:val="22"/>
        </w:rPr>
        <w:t>Steric exclusion</w:t>
      </w:r>
      <w:r>
        <w:rPr>
          <w:sz w:val="22"/>
        </w:rPr>
        <w:t xml:space="preserve"> of polyphenols. Catechins (MW 290–458 Da) and theaflavins (MW 564–868 Da) are significantly larger than caffeine and possess multiple hydroxyl groups conferring high hydrophilicity. These properties create a dual exclusion mechanism: (1) molecular dimensions exceed the available interlayer spacing, preventing intercalation; and (2) strong hydration shells around these molecules resist displacement by the less polar MMT surface.</w:t>
      </w:r>
      <w:r>
        <w:rPr>
          <w:sz w:val="18"/>
          <w:vertAlign w:val="superscript"/>
        </w:rPr>
        <w:t>13,16</w:t>
      </w:r>
      <w:r>
        <w:rPr>
          <w:sz w:val="22"/>
        </w:rPr>
        <w:t xml:space="preserve"> The net result is near-complete retention of polyphenols in solution while caffeine is sequestered in the interlayer space.</w:t>
      </w:r>
    </w:p>
    <w:p>
      <w:pPr>
        <w:pStyle w:val="Heading2"/>
        <w:spacing w:before="360" w:after="120"/>
      </w:pPr>
      <w:r>
        <w:t>4. Performance characteristics and optimization strategies</w:t>
      </w:r>
    </w:p>
    <w:p>
      <w:pPr>
        <w:spacing w:line="480" w:lineRule="auto" w:after="120"/>
      </w:pPr>
      <w:r>
        <w:rPr>
          <w:b/>
          <w:sz w:val="22"/>
        </w:rPr>
        <w:t>Adsorption kinetics.</w:t>
      </w:r>
      <w:r>
        <w:rPr>
          <w:sz w:val="22"/>
        </w:rPr>
        <w:t xml:space="preserve"> MMT achieves &gt;99% caffeine removal within 5 minutes from pure caffeine solutions (5.2 mmol/L) and within 20 minutes from green tea extracts at equivalent concentration.</w:t>
      </w:r>
      <w:r>
        <w:rPr>
          <w:sz w:val="18"/>
          <w:vertAlign w:val="superscript"/>
        </w:rPr>
        <w:t>13</w:t>
      </w:r>
      <w:r>
        <w:rPr>
          <w:sz w:val="22"/>
        </w:rPr>
        <w:t xml:space="preserve"> Na+-exchanged bentonite reaches equilibrium in &lt;15 minutes from dilute solutions (0.026 mmol/L), with the process following Langmuir isotherm kinetics (Qmax ≈ 20 mg/g).</w:t>
      </w:r>
      <w:r>
        <w:rPr>
          <w:sz w:val="18"/>
          <w:vertAlign w:val="superscript"/>
        </w:rPr>
        <w:t>17</w:t>
      </w:r>
      <w:r>
        <w:rPr>
          <w:sz w:val="22"/>
        </w:rPr>
        <w:t xml:space="preserve"> These kinetics are compatible with typical beverage consumption timelines — a 3–5 minute immersion while the drink cools to drinking temperature would achieve substantial decaffeination (Table 1).</w:t>
      </w:r>
    </w:p>
    <w:p>
      <w:pPr>
        <w:spacing w:line="480" w:lineRule="auto" w:after="120"/>
      </w:pPr>
      <w:r>
        <w:rPr>
          <w:b/>
          <w:sz w:val="22"/>
        </w:rPr>
        <w:t>Ion-exchange enhancement.</w:t>
      </w:r>
      <w:r>
        <w:rPr>
          <w:sz w:val="22"/>
        </w:rPr>
        <w:t xml:space="preserve"> The adsorption capacity and affinity of MMT for caffeine are systematically tunable through interlayer cation exchange. Okada et al. demonstrated that replacing Na+ with Al3+ increases caffeine removal by approximately 1.6-fold (from 57.1% to 91.2% from 1.5 mmol/L solutions), attributable to stronger electrostatic attraction between trivalent cations and caffeine's carbonyl groups.</w:t>
      </w:r>
      <w:r>
        <w:rPr>
          <w:sz w:val="18"/>
          <w:vertAlign w:val="superscript"/>
        </w:rPr>
        <w:t>16</w:t>
      </w:r>
      <w:r>
        <w:rPr>
          <w:sz w:val="22"/>
        </w:rPr>
        <w:t xml:space="preserve"> Yamamoto et al. showed that lower-hydrophilicity cation forms (K+, Rb+, Cs+) exhibit higher Langmuir equilibrium constants (KLang = 1.14–1.60 L/mmol) versus hydrophilic forms (Li+, Na+: KLang = 0.25–0.32 L/mmol), because reduced water competition facilitates caffeine access to interlayer sites.</w:t>
      </w:r>
      <w:r>
        <w:rPr>
          <w:sz w:val="18"/>
          <w:vertAlign w:val="superscript"/>
        </w:rPr>
        <w:t>18</w:t>
      </w:r>
      <w:r>
        <w:rPr>
          <w:sz w:val="22"/>
        </w:rPr>
      </w:r>
    </w:p>
    <w:p>
      <w:pPr>
        <w:spacing w:line="480" w:lineRule="auto" w:after="120"/>
      </w:pPr>
      <w:r>
        <w:rPr>
          <w:b/>
          <w:sz w:val="22"/>
        </w:rPr>
        <w:t>Environmental robustness.</w:t>
      </w:r>
      <w:r>
        <w:rPr>
          <w:sz w:val="22"/>
        </w:rPr>
        <w:t xml:space="preserve"> MMT maintains stable caffeine adsorption across temperatures of 5–35 °C and pH 6–8, encompassing typical serving conditions for iced beverages through warm teas.</w:t>
      </w:r>
      <w:r>
        <w:rPr>
          <w:sz w:val="18"/>
          <w:vertAlign w:val="superscript"/>
        </w:rPr>
        <w:t>13</w:t>
      </w:r>
      <w:r>
        <w:rPr>
          <w:sz w:val="22"/>
        </w:rPr>
        <w:t xml:space="preserve"> Critically, MMT shows comparable adsorption characteristics across diverse beverage matrices — green tea, oolong tea, black tea, and coffee extracts — confirming that matrix components do not competitively inhibit caffeine binding (unlike activated carbon, whose performance degrades in complex matrices).</w:t>
      </w:r>
      <w:r>
        <w:rPr>
          <w:sz w:val="18"/>
          <w:vertAlign w:val="superscript"/>
        </w:rPr>
        <w:t>14,19</w:t>
      </w:r>
      <w:r>
        <w:rPr>
          <w:sz w:val="22"/>
        </w:rPr>
      </w:r>
    </w:p>
    <w:p>
      <w:pPr>
        <w:spacing w:before="360" w:after="120"/>
      </w:pPr>
      <w:r>
        <w:rPr>
          <w:b/>
          <w:sz w:val="20"/>
        </w:rPr>
        <w:t>Table 1. Estimated decaffeination performance of a 5 g MMT sachet for common beverages.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Beverage</w:t>
            </w:r>
          </w:p>
        </w:tc>
        <w:tc>
          <w:tcPr>
            <w:tcW w:type="dxa" w:w="1872"/>
          </w:tcPr>
          <w:p>
            <w:pPr>
              <w:jc w:val="center"/>
            </w:pPr>
            <w:r>
              <w:rPr>
                <w:b/>
                <w:sz w:val="18"/>
              </w:rPr>
              <w:t>Typical caffeine</w:t>
              <w:br/>
              <w:t>(mg per 250 mL)</w:t>
            </w:r>
          </w:p>
        </w:tc>
        <w:tc>
          <w:tcPr>
            <w:tcW w:type="dxa" w:w="1872"/>
          </w:tcPr>
          <w:p>
            <w:pPr>
              <w:jc w:val="center"/>
            </w:pPr>
            <w:r>
              <w:rPr>
                <w:b/>
                <w:sz w:val="18"/>
              </w:rPr>
              <w:t>MMT sachet capacity</w:t>
              <w:br/>
              <w:t>(mg per 5 g)</w:t>
            </w:r>
          </w:p>
        </w:tc>
        <w:tc>
          <w:tcPr>
            <w:tcW w:type="dxa" w:w="1872"/>
          </w:tcPr>
          <w:p>
            <w:pPr>
              <w:jc w:val="center"/>
            </w:pPr>
            <w:r>
              <w:rPr>
                <w:b/>
                <w:sz w:val="18"/>
              </w:rPr>
              <w:t>Expected removal</w:t>
              <w:br/>
              <w:t>(%)</w:t>
            </w:r>
          </w:p>
        </w:tc>
        <w:tc>
          <w:tcPr>
            <w:tcW w:type="dxa" w:w="1872"/>
          </w:tcPr>
          <w:p>
            <w:pPr>
              <w:jc w:val="center"/>
            </w:pPr>
            <w:r>
              <w:rPr>
                <w:b/>
                <w:sz w:val="18"/>
              </w:rPr>
              <w:t>Contact time</w:t>
              <w:br/>
              <w:t>(min)</w:t>
            </w:r>
          </w:p>
        </w:tc>
      </w:tr>
      <w:tr>
        <w:tc>
          <w:tcPr>
            <w:tcW w:type="dxa" w:w="1872"/>
          </w:tcPr>
          <w:p>
            <w:pPr>
              <w:jc w:val="center"/>
            </w:pPr>
            <w:r>
              <w:rPr>
                <w:sz w:val="18"/>
              </w:rPr>
              <w:t>Green tea</w:t>
            </w:r>
          </w:p>
        </w:tc>
        <w:tc>
          <w:tcPr>
            <w:tcW w:type="dxa" w:w="1872"/>
          </w:tcPr>
          <w:p>
            <w:pPr>
              <w:jc w:val="center"/>
            </w:pPr>
            <w:r>
              <w:rPr>
                <w:sz w:val="18"/>
              </w:rPr>
              <w:t>30–50</w:t>
            </w:r>
          </w:p>
        </w:tc>
        <w:tc>
          <w:tcPr>
            <w:tcW w:type="dxa" w:w="1872"/>
          </w:tcPr>
          <w:p>
            <w:pPr>
              <w:jc w:val="center"/>
            </w:pPr>
            <w:r>
              <w:rPr>
                <w:sz w:val="18"/>
              </w:rPr>
              <w:t>100–160</w:t>
            </w:r>
          </w:p>
        </w:tc>
        <w:tc>
          <w:tcPr>
            <w:tcW w:type="dxa" w:w="1872"/>
          </w:tcPr>
          <w:p>
            <w:pPr>
              <w:jc w:val="center"/>
            </w:pPr>
            <w:r>
              <w:rPr>
                <w:sz w:val="18"/>
              </w:rPr>
              <w:t>&gt;95</w:t>
            </w:r>
          </w:p>
        </w:tc>
        <w:tc>
          <w:tcPr>
            <w:tcW w:type="dxa" w:w="1872"/>
          </w:tcPr>
          <w:p>
            <w:pPr>
              <w:jc w:val="center"/>
            </w:pPr>
            <w:r>
              <w:rPr>
                <w:sz w:val="18"/>
              </w:rPr>
              <w:t>3–5</w:t>
            </w:r>
          </w:p>
        </w:tc>
      </w:tr>
      <w:tr>
        <w:tc>
          <w:tcPr>
            <w:tcW w:type="dxa" w:w="1872"/>
          </w:tcPr>
          <w:p>
            <w:pPr>
              <w:jc w:val="center"/>
            </w:pPr>
            <w:r>
              <w:rPr>
                <w:sz w:val="18"/>
              </w:rPr>
              <w:t>Black tea</w:t>
            </w:r>
          </w:p>
        </w:tc>
        <w:tc>
          <w:tcPr>
            <w:tcW w:type="dxa" w:w="1872"/>
          </w:tcPr>
          <w:p>
            <w:pPr>
              <w:jc w:val="center"/>
            </w:pPr>
            <w:r>
              <w:rPr>
                <w:sz w:val="18"/>
              </w:rPr>
              <w:t>40–70</w:t>
            </w:r>
          </w:p>
        </w:tc>
        <w:tc>
          <w:tcPr>
            <w:tcW w:type="dxa" w:w="1872"/>
          </w:tcPr>
          <w:p>
            <w:pPr>
              <w:jc w:val="center"/>
            </w:pPr>
            <w:r>
              <w:rPr>
                <w:sz w:val="18"/>
              </w:rPr>
              <w:t>100–160</w:t>
            </w:r>
          </w:p>
        </w:tc>
        <w:tc>
          <w:tcPr>
            <w:tcW w:type="dxa" w:w="1872"/>
          </w:tcPr>
          <w:p>
            <w:pPr>
              <w:jc w:val="center"/>
            </w:pPr>
            <w:r>
              <w:rPr>
                <w:sz w:val="18"/>
              </w:rPr>
              <w:t>&gt;90</w:t>
            </w:r>
          </w:p>
        </w:tc>
        <w:tc>
          <w:tcPr>
            <w:tcW w:type="dxa" w:w="1872"/>
          </w:tcPr>
          <w:p>
            <w:pPr>
              <w:jc w:val="center"/>
            </w:pPr>
            <w:r>
              <w:rPr>
                <w:sz w:val="18"/>
              </w:rPr>
              <w:t>3–5</w:t>
            </w:r>
          </w:p>
        </w:tc>
      </w:tr>
      <w:tr>
        <w:tc>
          <w:tcPr>
            <w:tcW w:type="dxa" w:w="1872"/>
          </w:tcPr>
          <w:p>
            <w:pPr>
              <w:jc w:val="center"/>
            </w:pPr>
            <w:r>
              <w:rPr>
                <w:sz w:val="18"/>
              </w:rPr>
              <w:t>Oolong tea</w:t>
            </w:r>
          </w:p>
        </w:tc>
        <w:tc>
          <w:tcPr>
            <w:tcW w:type="dxa" w:w="1872"/>
          </w:tcPr>
          <w:p>
            <w:pPr>
              <w:jc w:val="center"/>
            </w:pPr>
            <w:r>
              <w:rPr>
                <w:sz w:val="18"/>
              </w:rPr>
              <w:t>35–55</w:t>
            </w:r>
          </w:p>
        </w:tc>
        <w:tc>
          <w:tcPr>
            <w:tcW w:type="dxa" w:w="1872"/>
          </w:tcPr>
          <w:p>
            <w:pPr>
              <w:jc w:val="center"/>
            </w:pPr>
            <w:r>
              <w:rPr>
                <w:sz w:val="18"/>
              </w:rPr>
              <w:t>100–160</w:t>
            </w:r>
          </w:p>
        </w:tc>
        <w:tc>
          <w:tcPr>
            <w:tcW w:type="dxa" w:w="1872"/>
          </w:tcPr>
          <w:p>
            <w:pPr>
              <w:jc w:val="center"/>
            </w:pPr>
            <w:r>
              <w:rPr>
                <w:sz w:val="18"/>
              </w:rPr>
              <w:t>&gt;95</w:t>
            </w:r>
          </w:p>
        </w:tc>
        <w:tc>
          <w:tcPr>
            <w:tcW w:type="dxa" w:w="1872"/>
          </w:tcPr>
          <w:p>
            <w:pPr>
              <w:jc w:val="center"/>
            </w:pPr>
            <w:r>
              <w:rPr>
                <w:sz w:val="18"/>
              </w:rPr>
              <w:t>3–5</w:t>
            </w:r>
          </w:p>
        </w:tc>
      </w:tr>
      <w:tr>
        <w:tc>
          <w:tcPr>
            <w:tcW w:type="dxa" w:w="1872"/>
          </w:tcPr>
          <w:p>
            <w:pPr>
              <w:jc w:val="center"/>
            </w:pPr>
            <w:r>
              <w:rPr>
                <w:sz w:val="18"/>
              </w:rPr>
              <w:t>Drip coffee</w:t>
            </w:r>
          </w:p>
        </w:tc>
        <w:tc>
          <w:tcPr>
            <w:tcW w:type="dxa" w:w="1872"/>
          </w:tcPr>
          <w:p>
            <w:pPr>
              <w:jc w:val="center"/>
            </w:pPr>
            <w:r>
              <w:rPr>
                <w:sz w:val="18"/>
              </w:rPr>
              <w:t>80–100</w:t>
            </w:r>
          </w:p>
        </w:tc>
        <w:tc>
          <w:tcPr>
            <w:tcW w:type="dxa" w:w="1872"/>
          </w:tcPr>
          <w:p>
            <w:pPr>
              <w:jc w:val="center"/>
            </w:pPr>
            <w:r>
              <w:rPr>
                <w:sz w:val="18"/>
              </w:rPr>
              <w:t>100–160</w:t>
            </w:r>
          </w:p>
        </w:tc>
        <w:tc>
          <w:tcPr>
            <w:tcW w:type="dxa" w:w="1872"/>
          </w:tcPr>
          <w:p>
            <w:pPr>
              <w:jc w:val="center"/>
            </w:pPr>
            <w:r>
              <w:rPr>
                <w:sz w:val="18"/>
              </w:rPr>
              <w:t>&gt;80</w:t>
            </w:r>
          </w:p>
        </w:tc>
        <w:tc>
          <w:tcPr>
            <w:tcW w:type="dxa" w:w="1872"/>
          </w:tcPr>
          <w:p>
            <w:pPr>
              <w:jc w:val="center"/>
            </w:pPr>
            <w:r>
              <w:rPr>
                <w:sz w:val="18"/>
              </w:rPr>
              <w:t>5–7</w:t>
            </w:r>
          </w:p>
        </w:tc>
      </w:tr>
      <w:tr>
        <w:tc>
          <w:tcPr>
            <w:tcW w:type="dxa" w:w="1872"/>
          </w:tcPr>
          <w:p>
            <w:pPr>
              <w:jc w:val="center"/>
            </w:pPr>
            <w:r>
              <w:rPr>
                <w:sz w:val="18"/>
              </w:rPr>
              <w:t>Espresso (diluted)</w:t>
            </w:r>
          </w:p>
        </w:tc>
        <w:tc>
          <w:tcPr>
            <w:tcW w:type="dxa" w:w="1872"/>
          </w:tcPr>
          <w:p>
            <w:pPr>
              <w:jc w:val="center"/>
            </w:pPr>
            <w:r>
              <w:rPr>
                <w:sz w:val="18"/>
              </w:rPr>
              <w:t>60–80</w:t>
            </w:r>
          </w:p>
        </w:tc>
        <w:tc>
          <w:tcPr>
            <w:tcW w:type="dxa" w:w="1872"/>
          </w:tcPr>
          <w:p>
            <w:pPr>
              <w:jc w:val="center"/>
            </w:pPr>
            <w:r>
              <w:rPr>
                <w:sz w:val="18"/>
              </w:rPr>
              <w:t>100–160</w:t>
            </w:r>
          </w:p>
        </w:tc>
        <w:tc>
          <w:tcPr>
            <w:tcW w:type="dxa" w:w="1872"/>
          </w:tcPr>
          <w:p>
            <w:pPr>
              <w:jc w:val="center"/>
            </w:pPr>
            <w:r>
              <w:rPr>
                <w:sz w:val="18"/>
              </w:rPr>
              <w:t>&gt;85</w:t>
            </w:r>
          </w:p>
        </w:tc>
        <w:tc>
          <w:tcPr>
            <w:tcW w:type="dxa" w:w="1872"/>
          </w:tcPr>
          <w:p>
            <w:pPr>
              <w:jc w:val="center"/>
            </w:pPr>
            <w:r>
              <w:rPr>
                <w:sz w:val="18"/>
              </w:rPr>
              <w:t>5</w:t>
            </w:r>
          </w:p>
        </w:tc>
      </w:tr>
      <w:tr>
        <w:tc>
          <w:tcPr>
            <w:tcW w:type="dxa" w:w="1872"/>
          </w:tcPr>
          <w:p>
            <w:pPr>
              <w:jc w:val="center"/>
            </w:pPr>
            <w:r>
              <w:rPr>
                <w:sz w:val="18"/>
              </w:rPr>
              <w:t>Energy drink</w:t>
            </w:r>
          </w:p>
        </w:tc>
        <w:tc>
          <w:tcPr>
            <w:tcW w:type="dxa" w:w="1872"/>
          </w:tcPr>
          <w:p>
            <w:pPr>
              <w:jc w:val="center"/>
            </w:pPr>
            <w:r>
              <w:rPr>
                <w:sz w:val="18"/>
              </w:rPr>
              <w:t>80–160</w:t>
            </w:r>
          </w:p>
        </w:tc>
        <w:tc>
          <w:tcPr>
            <w:tcW w:type="dxa" w:w="1872"/>
          </w:tcPr>
          <w:p>
            <w:pPr>
              <w:jc w:val="center"/>
            </w:pPr>
            <w:r>
              <w:rPr>
                <w:sz w:val="18"/>
              </w:rPr>
              <w:t>100–160</w:t>
            </w:r>
          </w:p>
        </w:tc>
        <w:tc>
          <w:tcPr>
            <w:tcW w:type="dxa" w:w="1872"/>
          </w:tcPr>
          <w:p>
            <w:pPr>
              <w:jc w:val="center"/>
            </w:pPr>
            <w:r>
              <w:rPr>
                <w:sz w:val="18"/>
              </w:rPr>
              <w:t>60–&gt;95</w:t>
            </w:r>
          </w:p>
        </w:tc>
        <w:tc>
          <w:tcPr>
            <w:tcW w:type="dxa" w:w="1872"/>
          </w:tcPr>
          <w:p>
            <w:pPr>
              <w:jc w:val="center"/>
            </w:pPr>
            <w:r>
              <w:rPr>
                <w:sz w:val="18"/>
              </w:rPr>
              <w:t>5–10</w:t>
            </w:r>
          </w:p>
        </w:tc>
      </w:tr>
    </w:tbl>
    <w:p/>
    <w:p>
      <w:pPr>
        <w:pStyle w:val="Heading2"/>
        <w:spacing w:before="360" w:after="120"/>
      </w:pPr>
      <w:r>
        <w:t>5. The portable decaffeination sachet: concept and design</w:t>
      </w:r>
    </w:p>
    <w:p>
      <w:pPr>
        <w:spacing w:line="480" w:lineRule="auto" w:after="120"/>
      </w:pPr>
      <w:r>
        <w:rPr>
          <w:sz w:val="22"/>
        </w:rPr>
        <w:t>We propose encapsulating food-grade MMT granules (particle size 0.1–1.0 mm) in a heat-sealed, food-grade nonwoven sachet (analogous to a tea bag) as a consumer-operated decaffeination device. The sachet format (approximately 60 × 80 mm) with an attached string enables simple immersion, agitation, and removal — a user protocol requiring no equipment, electricity, or technical knowledge (Fig. 3).</w:t>
      </w:r>
    </w:p>
    <w:p>
      <w:pPr>
        <w:spacing w:line="480" w:lineRule="auto" w:after="120"/>
      </w:pPr>
      <w:r>
        <w:rPr>
          <w:sz w:val="22"/>
        </w:rPr>
        <w:t>Based on published adsorption capacities, a sachet containing 5 g of Al3+-exchanged MMT (estimated Qmax ≈ 32 mg/g) would provide a theoretical caffeine removal capacity of ~160 mg — sufficient to decaffeinate one cup (200–250 mL) of coffee (80–100 mg caffeine) or 2–3 cups of tea (30–50 mg caffeine each) (Table 1).</w:t>
      </w:r>
      <w:r>
        <w:rPr>
          <w:sz w:val="18"/>
          <w:vertAlign w:val="superscript"/>
        </w:rPr>
        <w:t>13,16,17</w:t>
      </w:r>
      <w:r>
        <w:rPr>
          <w:sz w:val="22"/>
        </w:rPr>
        <w:t xml:space="preserve"> The 3–5 minute contact time aligns naturally with the period between receiving a hot beverage and it reaching comfortable drinking temperature.</w:t>
      </w:r>
    </w:p>
    <w:p>
      <w:pPr>
        <w:spacing w:line="480" w:lineRule="auto" w:after="120"/>
      </w:pPr>
      <w:r>
        <w:rPr>
          <w:sz w:val="22"/>
        </w:rPr>
        <w:t>The key engineering requirements include: (1) sachet porosity sufficient for rapid caffeine diffusion (MW 194.19 Da) while preventing MMT particle leakage (pore size 1–50 μm); (2) materials compatible with hot beverages (up to 80 °C); (3) individual hermetic packaging to maintain anhydrous MMT performance over shelf life; and (4) food-contact compliance for all components (sachet material, adhesive, string, tag).</w:t>
      </w:r>
    </w:p>
    <w:p>
      <w:pPr>
        <w:pStyle w:val="Heading2"/>
        <w:spacing w:before="360" w:after="120"/>
      </w:pPr>
      <w:r>
        <w:t>6. Differentiation from existing approaches</w:t>
      </w:r>
    </w:p>
    <w:p>
      <w:pPr>
        <w:spacing w:line="480" w:lineRule="auto" w:after="120"/>
      </w:pPr>
      <w:r>
        <w:rPr>
          <w:sz w:val="22"/>
        </w:rPr>
        <w:t>A consumer decaffeination product using crosslinked polymer beads in a porous container was previously patented (US 10,813,375 B2).</w:t>
      </w:r>
      <w:r>
        <w:rPr>
          <w:sz w:val="18"/>
          <w:vertAlign w:val="superscript"/>
        </w:rPr>
        <w:t>20</w:t>
      </w:r>
      <w:r>
        <w:rPr>
          <w:sz w:val="22"/>
        </w:rPr>
        <w:t xml:space="preserve"> However, the MMT-based approach offers fundamental advantages (Table 2): (1) demonstrated selectivity preserving polyphenolic health benefits, whereas synthetic polymers show lower selectivity; (2) established food safety through GRAS status and a decade of commercial use, versus no regulatory track record for the polymer system; (3) natural mineral origin eliminating microplastic concerns associated with synthetic polymer degradation; and (4) industrial manufacturing precedent (Kirin) providing proven scalability and supply chain infrastructure.</w:t>
      </w:r>
      <w:r>
        <w:rPr>
          <w:sz w:val="18"/>
          <w:vertAlign w:val="superscript"/>
        </w:rPr>
        <w:t>8,13,14</w:t>
      </w:r>
      <w:r>
        <w:rPr>
          <w:sz w:val="22"/>
        </w:rPr>
      </w:r>
    </w:p>
    <w:p>
      <w:pPr>
        <w:spacing w:line="480" w:lineRule="auto" w:after="120"/>
      </w:pPr>
      <w:r>
        <w:rPr>
          <w:sz w:val="22"/>
        </w:rPr>
        <w:t>Compared to conventional industrial decaffeination, the sachet approach preserves consumer choice at point of consumption. Rather than requiring manufacturers to produce and distribute parallel decaffeinated product lines (with associated inventory and freshness challenges), a single caffeinated product can serve all consumers, with those desiring decaf applying the sachet individually. This potentially simplifies beverage supply chains while expanding consumer options.</w:t>
      </w:r>
    </w:p>
    <w:p>
      <w:pPr>
        <w:spacing w:before="360" w:after="120"/>
      </w:pPr>
      <w:r>
        <w:rPr>
          <w:b/>
          <w:sz w:val="20"/>
        </w:rPr>
        <w:t>Table 2. Comparison of consumer-accessible decaffeination approaches.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Feature</w:t>
            </w:r>
          </w:p>
        </w:tc>
        <w:tc>
          <w:tcPr>
            <w:tcW w:type="dxa" w:w="2340"/>
          </w:tcPr>
          <w:p>
            <w:pPr>
              <w:jc w:val="center"/>
            </w:pPr>
            <w:r>
              <w:rPr>
                <w:b/>
                <w:sz w:val="18"/>
              </w:rPr>
              <w:t>MMT sachet</w:t>
              <w:br/>
              <w:t>(proposed)</w:t>
            </w:r>
          </w:p>
        </w:tc>
        <w:tc>
          <w:tcPr>
            <w:tcW w:type="dxa" w:w="2340"/>
          </w:tcPr>
          <w:p>
            <w:pPr>
              <w:jc w:val="center"/>
            </w:pPr>
            <w:r>
              <w:rPr>
                <w:b/>
                <w:sz w:val="18"/>
              </w:rPr>
              <w:t>Polymer bead sachet</w:t>
              <w:br/>
              <w:t>(US 10,813,375 B2)</w:t>
            </w:r>
          </w:p>
        </w:tc>
        <w:tc>
          <w:tcPr>
            <w:tcW w:type="dxa" w:w="2340"/>
          </w:tcPr>
          <w:p>
            <w:pPr>
              <w:jc w:val="center"/>
            </w:pPr>
            <w:r>
              <w:rPr>
                <w:b/>
                <w:sz w:val="18"/>
              </w:rPr>
              <w:t>Pre-manufactured</w:t>
              <w:br/>
              <w:t>decaf products</w:t>
            </w:r>
          </w:p>
        </w:tc>
      </w:tr>
      <w:tr>
        <w:tc>
          <w:tcPr>
            <w:tcW w:type="dxa" w:w="2340"/>
          </w:tcPr>
          <w:p>
            <w:pPr>
              <w:jc w:val="center"/>
            </w:pPr>
            <w:r>
              <w:rPr>
                <w:sz w:val="18"/>
              </w:rPr>
              <w:t>Polyphenol preservation</w:t>
            </w:r>
          </w:p>
        </w:tc>
        <w:tc>
          <w:tcPr>
            <w:tcW w:type="dxa" w:w="2340"/>
          </w:tcPr>
          <w:p>
            <w:pPr>
              <w:jc w:val="center"/>
            </w:pPr>
            <w:r>
              <w:rPr>
                <w:sz w:val="18"/>
              </w:rPr>
              <w:t>High (&gt;95%)</w:t>
            </w:r>
          </w:p>
        </w:tc>
        <w:tc>
          <w:tcPr>
            <w:tcW w:type="dxa" w:w="2340"/>
          </w:tcPr>
          <w:p>
            <w:pPr>
              <w:jc w:val="center"/>
            </w:pPr>
            <w:r>
              <w:rPr>
                <w:sz w:val="18"/>
              </w:rPr>
              <w:t>Low–Moderate</w:t>
            </w:r>
          </w:p>
        </w:tc>
        <w:tc>
          <w:tcPr>
            <w:tcW w:type="dxa" w:w="2340"/>
          </w:tcPr>
          <w:p>
            <w:pPr>
              <w:jc w:val="center"/>
            </w:pPr>
            <w:r>
              <w:rPr>
                <w:sz w:val="18"/>
              </w:rPr>
              <w:t>Variable</w:t>
            </w:r>
          </w:p>
        </w:tc>
      </w:tr>
      <w:tr>
        <w:tc>
          <w:tcPr>
            <w:tcW w:type="dxa" w:w="2340"/>
          </w:tcPr>
          <w:p>
            <w:pPr>
              <w:jc w:val="center"/>
            </w:pPr>
            <w:r>
              <w:rPr>
                <w:sz w:val="18"/>
              </w:rPr>
              <w:t>Caffeine selectivity</w:t>
            </w:r>
          </w:p>
        </w:tc>
        <w:tc>
          <w:tcPr>
            <w:tcW w:type="dxa" w:w="2340"/>
          </w:tcPr>
          <w:p>
            <w:pPr>
              <w:jc w:val="center"/>
            </w:pPr>
            <w:r>
              <w:rPr>
                <w:sz w:val="18"/>
              </w:rPr>
              <w:t>High</w:t>
            </w:r>
          </w:p>
        </w:tc>
        <w:tc>
          <w:tcPr>
            <w:tcW w:type="dxa" w:w="2340"/>
          </w:tcPr>
          <w:p>
            <w:pPr>
              <w:jc w:val="center"/>
            </w:pPr>
            <w:r>
              <w:rPr>
                <w:sz w:val="18"/>
              </w:rPr>
              <w:t>Moderate</w:t>
            </w:r>
          </w:p>
        </w:tc>
        <w:tc>
          <w:tcPr>
            <w:tcW w:type="dxa" w:w="2340"/>
          </w:tcPr>
          <w:p>
            <w:pPr>
              <w:jc w:val="center"/>
            </w:pPr>
            <w:r>
              <w:rPr>
                <w:sz w:val="18"/>
              </w:rPr>
              <w:t>N/A (industrial)</w:t>
            </w:r>
          </w:p>
        </w:tc>
      </w:tr>
      <w:tr>
        <w:tc>
          <w:tcPr>
            <w:tcW w:type="dxa" w:w="2340"/>
          </w:tcPr>
          <w:p>
            <w:pPr>
              <w:jc w:val="center"/>
            </w:pPr>
            <w:r>
              <w:rPr>
                <w:sz w:val="18"/>
              </w:rPr>
              <w:t>Regulatory status</w:t>
            </w:r>
          </w:p>
        </w:tc>
        <w:tc>
          <w:tcPr>
            <w:tcW w:type="dxa" w:w="2340"/>
          </w:tcPr>
          <w:p>
            <w:pPr>
              <w:jc w:val="center"/>
            </w:pPr>
            <w:r>
              <w:rPr>
                <w:sz w:val="18"/>
              </w:rPr>
              <w:t>GRAS / E558 / JP approved</w:t>
            </w:r>
          </w:p>
        </w:tc>
        <w:tc>
          <w:tcPr>
            <w:tcW w:type="dxa" w:w="2340"/>
          </w:tcPr>
          <w:p>
            <w:pPr>
              <w:jc w:val="center"/>
            </w:pPr>
            <w:r>
              <w:rPr>
                <w:sz w:val="18"/>
              </w:rPr>
              <w:t>Not established</w:t>
            </w:r>
          </w:p>
        </w:tc>
        <w:tc>
          <w:tcPr>
            <w:tcW w:type="dxa" w:w="2340"/>
          </w:tcPr>
          <w:p>
            <w:pPr>
              <w:jc w:val="center"/>
            </w:pPr>
            <w:r>
              <w:rPr>
                <w:sz w:val="18"/>
              </w:rPr>
              <w:t>Established</w:t>
            </w:r>
          </w:p>
        </w:tc>
      </w:tr>
      <w:tr>
        <w:tc>
          <w:tcPr>
            <w:tcW w:type="dxa" w:w="2340"/>
          </w:tcPr>
          <w:p>
            <w:pPr>
              <w:jc w:val="center"/>
            </w:pPr>
            <w:r>
              <w:rPr>
                <w:sz w:val="18"/>
              </w:rPr>
              <w:t>Biodegradability</w:t>
            </w:r>
          </w:p>
        </w:tc>
        <w:tc>
          <w:tcPr>
            <w:tcW w:type="dxa" w:w="2340"/>
          </w:tcPr>
          <w:p>
            <w:pPr>
              <w:jc w:val="center"/>
            </w:pPr>
            <w:r>
              <w:rPr>
                <w:sz w:val="18"/>
              </w:rPr>
              <w:t>Yes (mineral)</w:t>
            </w:r>
          </w:p>
        </w:tc>
        <w:tc>
          <w:tcPr>
            <w:tcW w:type="dxa" w:w="2340"/>
          </w:tcPr>
          <w:p>
            <w:pPr>
              <w:jc w:val="center"/>
            </w:pPr>
            <w:r>
              <w:rPr>
                <w:sz w:val="18"/>
              </w:rPr>
              <w:t>No (polymer)</w:t>
            </w:r>
          </w:p>
        </w:tc>
        <w:tc>
          <w:tcPr>
            <w:tcW w:type="dxa" w:w="2340"/>
          </w:tcPr>
          <w:p>
            <w:pPr>
              <w:jc w:val="center"/>
            </w:pPr>
            <w:r>
              <w:rPr>
                <w:sz w:val="18"/>
              </w:rPr>
              <w:t>N/A</w:t>
            </w:r>
          </w:p>
        </w:tc>
      </w:tr>
      <w:tr>
        <w:tc>
          <w:tcPr>
            <w:tcW w:type="dxa" w:w="2340"/>
          </w:tcPr>
          <w:p>
            <w:pPr>
              <w:jc w:val="center"/>
            </w:pPr>
            <w:r>
              <w:rPr>
                <w:sz w:val="18"/>
              </w:rPr>
              <w:t>Beverage versatility</w:t>
            </w:r>
          </w:p>
        </w:tc>
        <w:tc>
          <w:tcPr>
            <w:tcW w:type="dxa" w:w="2340"/>
          </w:tcPr>
          <w:p>
            <w:pPr>
              <w:jc w:val="center"/>
            </w:pPr>
            <w:r>
              <w:rPr>
                <w:sz w:val="18"/>
              </w:rPr>
              <w:t>Any beverage</w:t>
            </w:r>
          </w:p>
        </w:tc>
        <w:tc>
          <w:tcPr>
            <w:tcW w:type="dxa" w:w="2340"/>
          </w:tcPr>
          <w:p>
            <w:pPr>
              <w:jc w:val="center"/>
            </w:pPr>
            <w:r>
              <w:rPr>
                <w:sz w:val="18"/>
              </w:rPr>
              <w:t>Any beverage</w:t>
            </w:r>
          </w:p>
        </w:tc>
        <w:tc>
          <w:tcPr>
            <w:tcW w:type="dxa" w:w="2340"/>
          </w:tcPr>
          <w:p>
            <w:pPr>
              <w:jc w:val="center"/>
            </w:pPr>
            <w:r>
              <w:rPr>
                <w:sz w:val="18"/>
              </w:rPr>
              <w:t>Limited selection</w:t>
            </w:r>
          </w:p>
        </w:tc>
      </w:tr>
      <w:tr>
        <w:tc>
          <w:tcPr>
            <w:tcW w:type="dxa" w:w="2340"/>
          </w:tcPr>
          <w:p>
            <w:pPr>
              <w:jc w:val="center"/>
            </w:pPr>
            <w:r>
              <w:rPr>
                <w:sz w:val="18"/>
              </w:rPr>
              <w:t>Industrial precedent</w:t>
            </w:r>
          </w:p>
        </w:tc>
        <w:tc>
          <w:tcPr>
            <w:tcW w:type="dxa" w:w="2340"/>
          </w:tcPr>
          <w:p>
            <w:pPr>
              <w:jc w:val="center"/>
            </w:pPr>
            <w:r>
              <w:rPr>
                <w:sz w:val="18"/>
              </w:rPr>
              <w:t>Kirin (2014–present)</w:t>
            </w:r>
          </w:p>
        </w:tc>
        <w:tc>
          <w:tcPr>
            <w:tcW w:type="dxa" w:w="2340"/>
          </w:tcPr>
          <w:p>
            <w:pPr>
              <w:jc w:val="center"/>
            </w:pPr>
            <w:r>
              <w:rPr>
                <w:sz w:val="18"/>
              </w:rPr>
              <w:t>None</w:t>
            </w:r>
          </w:p>
        </w:tc>
        <w:tc>
          <w:tcPr>
            <w:tcW w:type="dxa" w:w="2340"/>
          </w:tcPr>
          <w:p>
            <w:pPr>
              <w:jc w:val="center"/>
            </w:pPr>
            <w:r>
              <w:rPr>
                <w:sz w:val="18"/>
              </w:rPr>
              <w:t>Established</w:t>
            </w:r>
          </w:p>
        </w:tc>
      </w:tr>
      <w:tr>
        <w:tc>
          <w:tcPr>
            <w:tcW w:type="dxa" w:w="2340"/>
          </w:tcPr>
          <w:p>
            <w:pPr>
              <w:jc w:val="center"/>
            </w:pPr>
            <w:r>
              <w:rPr>
                <w:sz w:val="18"/>
              </w:rPr>
              <w:t>Estimated cost per use</w:t>
            </w:r>
          </w:p>
        </w:tc>
        <w:tc>
          <w:tcPr>
            <w:tcW w:type="dxa" w:w="2340"/>
          </w:tcPr>
          <w:p>
            <w:pPr>
              <w:jc w:val="center"/>
            </w:pPr>
            <w:r>
              <w:rPr>
                <w:sz w:val="18"/>
              </w:rPr>
              <w:t>~USD 0.30–0.50</w:t>
            </w:r>
          </w:p>
        </w:tc>
        <w:tc>
          <w:tcPr>
            <w:tcW w:type="dxa" w:w="2340"/>
          </w:tcPr>
          <w:p>
            <w:pPr>
              <w:jc w:val="center"/>
            </w:pPr>
            <w:r>
              <w:rPr>
                <w:sz w:val="18"/>
              </w:rPr>
              <w:t>Unknown</w:t>
            </w:r>
          </w:p>
        </w:tc>
        <w:tc>
          <w:tcPr>
            <w:tcW w:type="dxa" w:w="2340"/>
          </w:tcPr>
          <w:p>
            <w:pPr>
              <w:jc w:val="center"/>
            </w:pPr>
            <w:r>
              <w:rPr>
                <w:sz w:val="18"/>
              </w:rPr>
              <w:t>Premium pricing</w:t>
            </w:r>
          </w:p>
        </w:tc>
      </w:tr>
    </w:tbl>
    <w:p/>
    <w:p>
      <w:pPr>
        <w:pStyle w:val="Heading2"/>
        <w:spacing w:before="360" w:after="120"/>
      </w:pPr>
      <w:r>
        <w:t>7. Remaining challenges and research needs</w:t>
      </w:r>
    </w:p>
    <w:p>
      <w:pPr>
        <w:spacing w:line="480" w:lineRule="auto" w:after="120"/>
      </w:pPr>
      <w:r>
        <w:rPr>
          <w:b/>
          <w:sz w:val="22"/>
        </w:rPr>
        <w:t>Iron elution.</w:t>
      </w:r>
      <w:r>
        <w:rPr>
          <w:sz w:val="22"/>
        </w:rPr>
        <w:t xml:space="preserve"> Prolonged MMT contact (&gt;30 min) with aqueous solutions can cause Fe3+ ion elution, potentially darkening green tea color.</w:t>
      </w:r>
      <w:r>
        <w:rPr>
          <w:sz w:val="18"/>
          <w:vertAlign w:val="superscript"/>
        </w:rPr>
        <w:t>13</w:t>
      </w:r>
      <w:r>
        <w:rPr>
          <w:sz w:val="22"/>
        </w:rPr>
        <w:t xml:space="preserve"> Mitigation strategies include: limiting recommended contact time (≤5 min), pre-treating MMT with acid washing or chelation, and using ion-exchanged variants where Fe3+ has been displaced. Shiono et al. showed that optimized contact conditions prevent Fe elution while maintaining decaffeination efficacy.</w:t>
      </w:r>
      <w:r>
        <w:rPr>
          <w:sz w:val="18"/>
          <w:vertAlign w:val="superscript"/>
        </w:rPr>
        <w:t>14</w:t>
      </w:r>
      <w:r>
        <w:rPr>
          <w:sz w:val="22"/>
        </w:rPr>
      </w:r>
    </w:p>
    <w:p>
      <w:pPr>
        <w:spacing w:line="480" w:lineRule="auto" w:after="120"/>
      </w:pPr>
      <w:r>
        <w:rPr>
          <w:b/>
          <w:sz w:val="22"/>
        </w:rPr>
        <w:t>Coffee pH compatibility.</w:t>
      </w:r>
      <w:r>
        <w:rPr>
          <w:sz w:val="22"/>
        </w:rPr>
        <w:t xml:space="preserve"> Published validation covers pH 6–8, but brewed coffee typically measures pH 4.9–5.2.</w:t>
      </w:r>
      <w:r>
        <w:rPr>
          <w:sz w:val="18"/>
          <w:vertAlign w:val="superscript"/>
        </w:rPr>
        <w:t>13</w:t>
      </w:r>
      <w:r>
        <w:rPr>
          <w:sz w:val="22"/>
        </w:rPr>
        <w:t xml:space="preserve"> While Shiono et al. demonstrated successful caffeine adsorption from coffee extracts without reporting pH-dependent performance loss, systematic validation across the full coffee pH range with quantified polyphenol (chlorogenic acid) retention is needed.</w:t>
      </w:r>
      <w:r>
        <w:rPr>
          <w:sz w:val="18"/>
          <w:vertAlign w:val="superscript"/>
        </w:rPr>
        <w:t>19</w:t>
      </w:r>
      <w:r>
        <w:rPr>
          <w:sz w:val="22"/>
        </w:rPr>
        <w:t xml:space="preserve"> Al3+-exchanged MMT may offer advantages at lower pH due to enhanced electrostatic stability.</w:t>
      </w:r>
      <w:r>
        <w:rPr>
          <w:sz w:val="18"/>
          <w:vertAlign w:val="superscript"/>
        </w:rPr>
        <w:t>16</w:t>
      </w:r>
      <w:r>
        <w:rPr>
          <w:sz w:val="22"/>
        </w:rPr>
      </w:r>
    </w:p>
    <w:p>
      <w:pPr>
        <w:spacing w:line="480" w:lineRule="auto" w:after="120"/>
      </w:pPr>
      <w:r>
        <w:rPr>
          <w:b/>
          <w:sz w:val="22"/>
        </w:rPr>
        <w:t>Hot beverage performance.</w:t>
      </w:r>
      <w:r>
        <w:rPr>
          <w:sz w:val="22"/>
        </w:rPr>
        <w:t xml:space="preserve"> The validated temperature range (5–35 °C) covers iced and room-temperature beverages but not freshly served hot drinks (60–80 °C).</w:t>
      </w:r>
      <w:r>
        <w:rPr>
          <w:sz w:val="18"/>
          <w:vertAlign w:val="superscript"/>
        </w:rPr>
        <w:t>13</w:t>
      </w:r>
      <w:r>
        <w:rPr>
          <w:sz w:val="22"/>
        </w:rPr>
        <w:t xml:space="preserve"> Thermodynamic principles suggest that Langmuir adsorption at elevated temperatures would show maintained or enhanced kinetics due to increased molecular diffusion, though equilibrium capacity may shift.</w:t>
      </w:r>
      <w:r>
        <w:rPr>
          <w:sz w:val="18"/>
          <w:vertAlign w:val="superscript"/>
        </w:rPr>
        <w:t>21</w:t>
      </w:r>
      <w:r>
        <w:rPr>
          <w:sz w:val="22"/>
        </w:rPr>
        <w:t xml:space="preserve"> Experimental validation at serving temperatures is a priority.</w:t>
      </w:r>
    </w:p>
    <w:p>
      <w:pPr>
        <w:spacing w:line="480" w:lineRule="auto" w:after="120"/>
      </w:pPr>
      <w:r>
        <w:rPr>
          <w:b/>
          <w:sz w:val="22"/>
        </w:rPr>
        <w:t>Consumer acceptance.</w:t>
      </w:r>
      <w:r>
        <w:rPr>
          <w:sz w:val="22"/>
        </w:rPr>
        <w:t xml:space="preserve"> The concept of adding an unfamiliar object to one's beverage requires consumer education and trust-building. Analogies to existing familiar formats (tea bags, infusers) and transparent communication about the natural mineral origin and food-safety credentials will be essential. Sensory evaluation using triangle tests should confirm that sachet-treated beverages are indistinguishable from untreated controls.</w:t>
      </w:r>
      <w:r>
        <w:rPr>
          <w:sz w:val="18"/>
          <w:vertAlign w:val="superscript"/>
        </w:rPr>
        <w:t>22</w:t>
      </w:r>
      <w:r>
        <w:rPr>
          <w:sz w:val="22"/>
        </w:rPr>
      </w:r>
    </w:p>
    <w:p>
      <w:pPr>
        <w:spacing w:line="480" w:lineRule="auto" w:after="120"/>
      </w:pPr>
      <w:r>
        <w:rPr>
          <w:b/>
          <w:sz w:val="22"/>
        </w:rPr>
        <w:t>Regulatory classification.</w:t>
      </w:r>
      <w:r>
        <w:rPr>
          <w:sz w:val="22"/>
        </w:rPr>
        <w:t xml:space="preserve"> While MMT (as bentonite) is approved as a food processing aid in all major jurisdictions, the specific classification of a consumer-operated sachet — neither a food additive in the traditional sense nor a food contact material — may require regulatory consultation. In Japan, classification as a 'food processing aid' (加工助剤) may apply since MMT does not remain in the final consumed product.</w:t>
      </w:r>
      <w:r>
        <w:rPr>
          <w:sz w:val="18"/>
          <w:vertAlign w:val="superscript"/>
        </w:rPr>
        <w:t>10</w:t>
      </w:r>
      <w:r>
        <w:rPr>
          <w:sz w:val="22"/>
        </w:rPr>
      </w:r>
    </w:p>
    <w:p>
      <w:pPr>
        <w:pStyle w:val="Heading2"/>
        <w:spacing w:before="360" w:after="120"/>
      </w:pPr>
      <w:r>
        <w:t>8. Concluding remarks and future perspective</w:t>
      </w:r>
    </w:p>
    <w:p>
      <w:pPr>
        <w:spacing w:line="480" w:lineRule="auto" w:after="120"/>
      </w:pPr>
      <w:r>
        <w:rPr>
          <w:sz w:val="22"/>
        </w:rPr>
        <w:t>For over a century, decaffeination has been conceptualized exclusively as a manufacturing process. The convergence of three factors — (1) the discovery of MMT's unique caffeine selectivity, (2) a decade of commercial validation in beverage manufacturing, and (3) growing consumer demand for personalized caffeine management — creates an opportunity to fundamentally reimagine where and by whom decaffeination occurs.</w:t>
      </w:r>
    </w:p>
    <w:p>
      <w:pPr>
        <w:spacing w:line="480" w:lineRule="auto" w:after="120"/>
      </w:pPr>
      <w:r>
        <w:rPr>
          <w:sz w:val="22"/>
        </w:rPr>
        <w:t>A portable MMT sachet would represent a category-creating product: not merely an alternative to existing decaffeinated beverages, but an enabling technology that converts any caffeinated beverage into a decaffeinated one at the consumer's discretion. The scientific, safety, and commercial foundations are already established; what remains is the engineering optimization and consumer validation needed to translate an industrial adsorbent into a consumer-friendly format.</w:t>
      </w:r>
    </w:p>
    <w:p>
      <w:pPr>
        <w:spacing w:line="480" w:lineRule="auto" w:after="120"/>
      </w:pPr>
      <w:r>
        <w:rPr>
          <w:sz w:val="22"/>
        </w:rPr>
        <w:t>We encourage the food science community to pursue three immediate research priorities: (1) systematic characterization of MMT sachet performance across the full matrix of commercial beverages, temperatures, and contact times; (2) comprehensive migration testing (Al, Fe, Si) under realistic consumer use conditions; and (3) sensory evaluation confirming organoleptic neutrality. The transition from factory-side to consumer-side decaffeination is not merely a product innovation — it is a reconceptualization of how caffeine management integrates into daily life.</w:t>
      </w:r>
    </w:p>
    <w:p>
      <w:pPr>
        <w:pStyle w:val="Heading1"/>
        <w:spacing w:before="360" w:after="120"/>
      </w:pPr>
      <w:r>
        <w:t>References</w:t>
      </w:r>
    </w:p>
    <w:p>
      <w:pPr>
        <w:spacing w:after="40" w:line="360" w:lineRule="auto"/>
      </w:pPr>
      <w:r>
        <w:rPr>
          <w:sz w:val="18"/>
        </w:rPr>
        <w:t>1. Heckman MA, Weil J, Gonzalez de Mejia E. Caffeine (1,3,7-trimethylxanthine) in foods: a comprehensive review on consumption, functionality, safety, and regulatory matters. J Food Sci. 2010;75(3):R77-R87.</w:t>
      </w:r>
    </w:p>
    <w:p>
      <w:pPr>
        <w:spacing w:after="40" w:line="360" w:lineRule="auto"/>
      </w:pPr>
      <w:r>
        <w:rPr>
          <w:sz w:val="18"/>
        </w:rPr>
        <w:t>2. EFSA Panel on Dietetic Products, Nutrition and Allergies. Scientific opinion on the safety of caffeine. EFSA J. 2015;13(5):4102.</w:t>
      </w:r>
    </w:p>
    <w:p>
      <w:pPr>
        <w:spacing w:after="40" w:line="360" w:lineRule="auto"/>
      </w:pPr>
      <w:r>
        <w:rPr>
          <w:sz w:val="18"/>
        </w:rPr>
        <w:t>3. Cornelis MC, El-Sohemy A, Kabagambe EK, Campos H. Coffee, CYP1A2 genotype, and risk of myocardial infarction. JAMA. 2006;295(10):1135-1141.</w:t>
      </w:r>
    </w:p>
    <w:p>
      <w:pPr>
        <w:spacing w:after="40" w:line="360" w:lineRule="auto"/>
      </w:pPr>
      <w:r>
        <w:rPr>
          <w:sz w:val="18"/>
        </w:rPr>
        <w:t>4. Temple JL, Bernard C, Lipshultz SE, Czachor JD, Westphal JA, Mestre MA. The safety of ingested caffeine: a comprehensive review. Front Psychiatry. 2017;8:80.</w:t>
      </w:r>
    </w:p>
    <w:p>
      <w:pPr>
        <w:spacing w:after="40" w:line="360" w:lineRule="auto"/>
      </w:pPr>
      <w:r>
        <w:rPr>
          <w:sz w:val="18"/>
        </w:rPr>
        <w:t>5. Grand View Research. Decaffeinated coffee market size, share &amp; trends analysis report. 2024. Available from: https://www.grandviewresearch.com/industry-analysis/decaffeinated-coffee-market</w:t>
      </w:r>
    </w:p>
    <w:p>
      <w:pPr>
        <w:spacing w:after="40" w:line="360" w:lineRule="auto"/>
      </w:pPr>
      <w:r>
        <w:rPr>
          <w:sz w:val="18"/>
        </w:rPr>
        <w:t>6. Ramalakshmi K, Raghavan B. Caffeine in coffee: its removal. Why and how? Crit Rev Food Sci Nutr. 1999;39(5):441-456.</w:t>
      </w:r>
    </w:p>
    <w:p>
      <w:pPr>
        <w:spacing w:after="40" w:line="360" w:lineRule="auto"/>
      </w:pPr>
      <w:r>
        <w:rPr>
          <w:sz w:val="18"/>
        </w:rPr>
        <w:t>7. Samoggia A, Riedel B. Consumers' perceptions of coffee health benefits and motives for coffee consumption and purchasing. Nutrients. 2019;11(3):653.</w:t>
      </w:r>
    </w:p>
    <w:p>
      <w:pPr>
        <w:spacing w:after="40" w:line="360" w:lineRule="auto"/>
      </w:pPr>
      <w:r>
        <w:rPr>
          <w:sz w:val="18"/>
        </w:rPr>
        <w:t>8. Kirin Holdings Company. Launch of 'Kirin Yasashisa Namacha Caffeine Zero'. Press release 2014. Available from: https://www.kirinholdings.com/jp/newsroom/release/2014/0313_01.html</w:t>
      </w:r>
    </w:p>
    <w:p>
      <w:pPr>
        <w:spacing w:after="40" w:line="360" w:lineRule="auto"/>
      </w:pPr>
      <w:r>
        <w:rPr>
          <w:sz w:val="18"/>
        </w:rPr>
        <w:t>9. Brigatti MF, Galan E, Theng BKG. Structure and mineralogy of clay minerals. In: Bergaya F, Lagaly G, editors. Handbook of Clay Science. 2nd ed. Amsterdam: Elsevier; 2013. p. 21-81.</w:t>
      </w:r>
    </w:p>
    <w:p>
      <w:pPr>
        <w:spacing w:after="40" w:line="360" w:lineRule="auto"/>
      </w:pPr>
      <w:r>
        <w:rPr>
          <w:sz w:val="18"/>
        </w:rPr>
        <w:t>10. U.S. Food and Drug Administration. 21 CFR 184.1155 - Bentonite. Code of Federal Regulations. 2008.</w:t>
      </w:r>
    </w:p>
    <w:p>
      <w:pPr>
        <w:spacing w:after="40" w:line="360" w:lineRule="auto"/>
      </w:pPr>
      <w:r>
        <w:rPr>
          <w:sz w:val="18"/>
        </w:rPr>
        <w:t>11. European Commission. Commission Regulation (EU) No 231/2012 laying down specifications for food additives. Off J Eur Union. 2012;L83:1-295.</w:t>
      </w:r>
    </w:p>
    <w:p>
      <w:pPr>
        <w:spacing w:after="40" w:line="360" w:lineRule="auto"/>
      </w:pPr>
      <w:r>
        <w:rPr>
          <w:sz w:val="18"/>
        </w:rPr>
        <w:t>12. Ministry of Health, Labour and Welfare (Japan). List of existing food additives. 2020. Available from: https://www.mhlw.go.jp/stf/seisakunitsuite/bunya/kenkou_iryou/shokuhin/syokuten/</w:t>
      </w:r>
    </w:p>
    <w:p>
      <w:pPr>
        <w:spacing w:after="40" w:line="360" w:lineRule="auto"/>
      </w:pPr>
      <w:r>
        <w:rPr>
          <w:sz w:val="18"/>
        </w:rPr>
        <w:t>13. Shiono T, Yamamoto K, Yotsumoto Y, Kawai J, Imada N, Hioki J, et al. Selective decaffeination of tea extracts by montmorillonite. J Food Eng. 2017;200:13-21.</w:t>
      </w:r>
    </w:p>
    <w:p>
      <w:pPr>
        <w:spacing w:after="40" w:line="360" w:lineRule="auto"/>
      </w:pPr>
      <w:r>
        <w:rPr>
          <w:sz w:val="18"/>
        </w:rPr>
        <w:t>14. Shiono T, Yamamoto K, Yotsumoto Y, Yoshida A. Decaffeination of beverages using natural adsorbent. Nippon Shokuhin Kagaku Kogaku Kaishi. 2018;65(3):99-106.</w:t>
      </w:r>
    </w:p>
    <w:p>
      <w:pPr>
        <w:spacing w:after="40" w:line="360" w:lineRule="auto"/>
      </w:pPr>
      <w:r>
        <w:rPr>
          <w:sz w:val="18"/>
        </w:rPr>
        <w:t>15. Yamamoto K, Shiono T, Yoshida A, Deuchi K. Interaction of caffeine with montmorillonite. Part Sci Technol. 2019;37(2):185-192.</w:t>
      </w:r>
    </w:p>
    <w:p>
      <w:pPr>
        <w:spacing w:after="40" w:line="360" w:lineRule="auto"/>
      </w:pPr>
      <w:r>
        <w:rPr>
          <w:sz w:val="18"/>
        </w:rPr>
        <w:t>16. Okada T, Ehara Y, Ogawa M. Caffeine adsorption on natural and synthetic smectite clays: adsorption mechanism and effect of interlayer cation valence. J Phys Chem C. 2020;124(47):25789-25795.</w:t>
      </w:r>
    </w:p>
    <w:p>
      <w:pPr>
        <w:spacing w:after="40" w:line="360" w:lineRule="auto"/>
      </w:pPr>
      <w:r>
        <w:rPr>
          <w:sz w:val="18"/>
        </w:rPr>
        <w:t>17. Goldner DMB, Viana L, Masini JC. Adsorption of caffeine and metabolites on Na+-exchanged bentonite. Minerals. 2025;15(6):573.</w:t>
      </w:r>
    </w:p>
    <w:p>
      <w:pPr>
        <w:spacing w:after="40" w:line="360" w:lineRule="auto"/>
      </w:pPr>
      <w:r>
        <w:rPr>
          <w:sz w:val="18"/>
        </w:rPr>
        <w:t>18. Yamamoto K, Shiono T, Yoshida A, Deuchi K. Influence of hydrophilicity on adsorption of caffeine onto montmorillonite. Clay Miner. 2018;53(1):59-72.</w:t>
      </w:r>
    </w:p>
    <w:p>
      <w:pPr>
        <w:spacing w:after="40" w:line="360" w:lineRule="auto"/>
      </w:pPr>
      <w:r>
        <w:rPr>
          <w:sz w:val="18"/>
        </w:rPr>
        <w:t>19. Shiono T, Yamamoto K, Yotsumoto Y, Yoshida A. Caffeine adsorption of montmorillonite in coffee extracts. Biosci Biotechnol Biochem. 2017;81(8):1591-1597.</w:t>
      </w:r>
    </w:p>
    <w:p>
      <w:pPr>
        <w:spacing w:after="40" w:line="360" w:lineRule="auto"/>
      </w:pPr>
      <w:r>
        <w:rPr>
          <w:sz w:val="18"/>
        </w:rPr>
        <w:t>20. Liu YL, Willett M, Kao CC, Said MABMK. Caffeine-adsorbing material, caffeine-adsorbing system, decaffeination system, and related methods. US Patent 10,813,375 B2. 2020.</w:t>
      </w:r>
    </w:p>
    <w:p>
      <w:pPr>
        <w:spacing w:after="40" w:line="360" w:lineRule="auto"/>
      </w:pPr>
      <w:r>
        <w:rPr>
          <w:sz w:val="18"/>
        </w:rPr>
        <w:t>21. Okada T, Oguchi J, Yamamoto K, Shiono T, Fujita M, Iiyama T. Organoclays in water cause expansion that facilitates caffeine adsorption. Langmuir. 2015;31(1):180-187.</w:t>
      </w:r>
    </w:p>
    <w:p>
      <w:pPr>
        <w:spacing w:after="40" w:line="360" w:lineRule="auto"/>
      </w:pPr>
      <w:r>
        <w:rPr>
          <w:sz w:val="18"/>
        </w:rPr>
        <w:t>22. Meunier A. Clays. Berlin: Springer; 2005. p. 1-472.</w:t>
      </w:r>
    </w:p>
    <w:p>
      <w:pPr>
        <w:spacing w:after="40" w:line="360" w:lineRule="auto"/>
      </w:pPr>
      <w:r>
        <w:rPr>
          <w:sz w:val="18"/>
        </w:rPr>
        <w:t>23. Chang K. World tea production and trade: current and future development. Rome: Food and Agriculture Organization; 2015.</w:t>
      </w:r>
    </w:p>
    <w:p>
      <w:pPr>
        <w:spacing w:after="40" w:line="360" w:lineRule="auto"/>
      </w:pPr>
      <w:r>
        <w:rPr>
          <w:sz w:val="18"/>
        </w:rPr>
        <w:t>24. Hamilton-Miller JM. Antimicrobial properties of tea (Camellia sinensis L.). Antimicrob Agents Chemother. 1995;39(11):2375-2377.</w:t>
      </w:r>
    </w:p>
    <w:p>
      <w:pPr>
        <w:spacing w:after="40" w:line="360" w:lineRule="auto"/>
      </w:pPr>
      <w:r>
        <w:rPr>
          <w:sz w:val="18"/>
        </w:rPr>
        <w:t>25. Perva-Uzunalic A, Skerget M, Knez Z, Weinreich B, Otto F, Gruner S. Extraction of active ingredients from green tea (Camellia sinensis): extraction efficiency of major catechins and caffeine. Food Chem. 2006;96(4):597-605.</w:t>
      </w:r>
    </w:p>
    <w:p>
      <w:pPr>
        <w:spacing w:after="40" w:line="360" w:lineRule="auto"/>
      </w:pPr>
      <w:r>
        <w:rPr>
          <w:sz w:val="18"/>
        </w:rPr>
        <w:t>26. World Health Organization. Guideline: caffeine intake during pregnancy. Geneva: WHO; 2024.</w:t>
      </w:r>
    </w:p>
    <w:p>
      <w:pPr>
        <w:spacing w:after="40" w:line="360" w:lineRule="auto"/>
      </w:pPr>
      <w:r>
        <w:rPr>
          <w:sz w:val="18"/>
        </w:rPr>
        <w:t>27. Cabrera-Lafaurie WA, Roman FR, Hernandez-Maldonado AJ. Transition metal modified and partially calcined inorganic-organic pillared clays for the adsorption of salicylic acid, clofibric acid, carbamazepine, and caffeine from water. J Colloid Interface Sci. 2012;386(1):381-391.</w:t>
      </w:r>
    </w:p>
    <w:p>
      <w:pPr>
        <w:spacing w:after="40" w:line="360" w:lineRule="auto"/>
      </w:pPr>
      <w:r>
        <w:rPr>
          <w:sz w:val="18"/>
        </w:rPr>
        <w:t>28. Suzuki M, Tabuchi M, Ikeda M, Umegaki K, Tomita T. Protective effects of green tea catechins on cerebral ischemic damage. Med Sci Monit. 2004;10(6):BR166-BR174.</w:t>
      </w:r>
    </w:p>
    <w:p>
      <w:pPr>
        <w:spacing w:after="40" w:line="360" w:lineRule="auto"/>
      </w:pPr>
      <w:r>
        <w:rPr>
          <w:sz w:val="18"/>
        </w:rPr>
        <w:t>29. Cabrera C, Artacho R, Gimenez R. Beneficial effects of green tea—a review. J Am Coll Nutr. 2006;25(2):79-99.</w:t>
      </w:r>
    </w:p>
    <w:p>
      <w:pPr>
        <w:spacing w:after="40" w:line="360" w:lineRule="auto"/>
      </w:pPr>
      <w:r>
        <w:rPr>
          <w:sz w:val="18"/>
        </w:rPr>
        <w:t>30. Yamamoto K, Shiono T, Yoshida A, Deuchi K. Effects of interlayer ion in montmorillonite on appearance of decaffeinated tea beverage. Nippon Shokuhin Kagaku Kogaku Kaishi. 2019;66(5):188-194.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