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Specialty-level malpractice litigation risk is unrelated to physician or hospital decline in Japan.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Rate-based, measured-only designs remove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and power diagnostics support an informative null result.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Perceived risk and real workforce allocation diverge because of structural incentives and status-quo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Structural incentives, not litigation-avoidance messaging, are the more promising policy lever.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