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07 July 2026</w:t>
      </w:r>
    </w:p>
    <w:p/>
    <w:p>
      <w:r>
        <w:t>The Editors</w:t>
      </w:r>
    </w:p>
    <w:p>
      <w:r>
        <w:t>Monthly Notices of the Royal Astronomical Society</w:t>
      </w:r>
    </w:p>
    <w:p/>
    <w:p>
      <w:r>
        <w:t>Dear Editors,</w:t>
      </w:r>
    </w:p>
    <w:p>
      <w:r>
        <w:rPr>
          <w:sz w:val="22"/>
        </w:rPr>
        <w:t>Please consider our manuscript, “A pharmacokinetic toolkit for the statistical three-body problem: compartment models, allometric scaling, and astrophysical predictions”, for publication in MNRAS as a research article.</w:t>
      </w:r>
    </w:p>
    <w:p>
      <w:r>
        <w:rPr>
          <w:sz w:val="22"/>
        </w:rPr>
        <w:t>The paper imports the toolkit of clinical pharmacokinetics — compartmental survival analysis, mean-residence-time calculus, saturable kinetics, and population (mixed-effects) scaling — into the statistical three-body problem, and shows that it is a genuinely useful set of instruments rather than a loose analogy. Using 15,000 planar and 27,000 new three-dimensional scattering experiments, we demonstrate that the compartment model reproduces the multi-exponential lifetime law and the phase-space-flux predictions of Stone &amp; Leigh (2019) and Ginat &amp; Perets (2021), while adding closed-form estimators that established theory does not provide.</w:t>
      </w:r>
    </w:p>
    <w:p>
      <w:r>
        <w:rPr>
          <w:sz w:val="22"/>
        </w:rPr>
        <w:t>We then use those estimators to make quantitative astrophysical predictions of direct interest to MNRAS readers: eccentricity-boosted gravitational-wave merger fractions, a closed-form predictor for which body is ejected (coupled to a realistic black-hole mass function), the eccentricity and ejection-velocity distributions of the products, and environment-specific resonance-versus-encounter timescales for globular clusters, nuclear star clusters, and AGN discs. The compartment structure is shown to survive 1PN precession, tidal dissipation, and 2.5PN radiation reaction.</w:t>
      </w:r>
    </w:p>
    <w:p>
      <w:r>
        <w:rPr>
          <w:sz w:val="22"/>
        </w:rPr>
        <w:t>The correspondence is bidirectional: celestial-mechanics stability theory in turn informs target-mediated drug disposition. We believe this two-way exchange, and the concrete astrophysical predictions it enables, will interest the broad MNRAS readership working on dynamical formation of compact-object binaries.</w:t>
      </w:r>
    </w:p>
    <w:p>
      <w:r>
        <w:rPr>
          <w:sz w:val="22"/>
        </w:rPr>
        <w:t>The manuscript is original, not under consideration elsewhere, and the author declares no conflict of interest.</w:t>
      </w:r>
    </w:p>
    <w:p/>
    <w:p>
      <w:r>
        <w:t>Sincerely,</w:t>
      </w:r>
    </w:p>
    <w:p>
      <w:r>
        <w:t>Tatsuki Onishi</w:t>
      </w:r>
    </w:p>
    <w:p>
      <w:r>
        <w:t>Faculty of Data Science, Shiga University, 1-1-1 Banba, Hikone, Shiga 522-8522, Japan</w:t>
      </w:r>
    </w:p>
    <w:p>
      <w:r>
        <w:t>E-mail: bougtoir@gmail.com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