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in the reduced masses.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rather than estimation noise: re-running the scan on a wider, finer three-dimensional grid (93 configurations at 2500 encounters each) leaves the law essentially unchanged (R</w:t>
      </w:r>
      <w:r>
        <w:rPr>
          <w:sz w:val="22"/>
        </w:rPr>
        <w:t>^</w:t>
      </w:r>
      <w:r>
        <w:rPr>
          <w:sz w:val="22"/>
        </w:rPr>
        <w:t>2 = 0.31, same exponent signs), confirming that a several-fold increase in sampling does not tighten the relation.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