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sz w:val="28"/>
        </w:rPr>
        <w:t>Litigation risk and specialty-level physician workforce in Japan, 2008–2024: a rate-based analysis with equivalence testing</w:t>
      </w:r>
    </w:p>
    <w:p>
      <w:pPr>
        <w:pStyle w:val="Heading1"/>
      </w:pPr>
      <w:r>
        <w:rPr>
          <w:rFonts w:ascii="Times New Roman" w:hAnsi="Times New Roman"/>
          <w:color w:val="000000"/>
        </w:rPr>
        <w:t>Abstract</w:t>
      </w:r>
    </w:p>
    <w:p>
      <w:pPr>
        <w:spacing w:line="480" w:lineRule="auto" w:after="120"/>
      </w:pPr>
      <w:r>
        <w:rPr>
          <w:rFonts w:ascii="Times New Roman" w:hAnsi="Times New Roman"/>
          <w:sz w:val="24"/>
        </w:rPr>
        <w:t>Specialty maldistribution in Japan has raised concern that malpractice litigation drives physicians from high-risk specialties. We examined whether specialty-level litigation risk predicts later physician or hospital decline. Using national primary data for 12 specialties (2008–2024), we measured exposure as closed malpractice claims per 1,000 physicians (rate, not count) and regressed biennial log-change in physicians and hospitals on the lagged litigation rate in a panel with specialty and wave fixed effects, cluster-robust standard errors, small-cluster t(G-1) inference, and two one-sided equivalence (TOST) tests. The workforce grew in 11 of 12 specialties; general surgery, which changed by -2.3%, was the exception. Litigation rate was not associated with physician growth (coefficient -0.0009; 95% CI -0.0043 to +0.0025; p=0.56) or hospital growth (p=0.90). A one-SD higher rate changed physician growth by less than ±1% (TOST p=0.023) and less than ±2% (p=0.000); hospital growth was within ±2% (p=0.002) but not the stricter ±1% margin (p=0.059). Sensitivity analyses were unchanged and per-specialty rank correlations were mostly positive (10/12) and none significant. Specialty-level litigation risk in Japan is not associated with workforce decline and is statistically equivalent to a null effect for physicians. These findings, drawn from one health system, suggest that structural workforce incentives, rather than litigation-avoidance messaging, warrant analytical attention.</w:t>
      </w:r>
    </w:p>
    <w:p>
      <w:pPr>
        <w:spacing w:after="360"/>
      </w:pPr>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health analytics; Japan</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2"/>
        </w:rPr>
        <w:t>[1]</w:t>
      </w:r>
      <w:r>
        <w:rPr>
          <w:rFonts w:ascii="Times New Roman" w:hAnsi="Times New Roman"/>
          <w:b w:val="0"/>
          <w:i w:val="0"/>
          <w:sz w:val="24"/>
        </w:rPr>
        <w:t xml:space="preserve"> A recurring policy intuition is that medical safety incidents and the threat of malpractice litigation push physicians away from high-risk specialties toward lower-risk practice.</w:t>
      </w:r>
      <w:r>
        <w:rPr>
          <w:rFonts w:ascii="Times New Roman" w:hAnsi="Times New Roman"/>
          <w:sz w:val="22"/>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often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examined the question using rates rather than counts, using only measured biennial physician observations, and using equivalence testing—which can provide positive evidence for the absence of a meaningful effect rather than merely failing to reject a null.</w:t>
      </w:r>
      <w:r>
        <w:rPr>
          <w:rFonts w:ascii="Times New Roman" w:hAnsi="Times New Roman"/>
          <w:sz w:val="22"/>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2"/>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2"/>
        </w:rPr>
        <w:t>[7]</w:t>
      </w:r>
      <w:r>
        <w:rPr>
          <w:rFonts w:ascii="Times New Roman" w:hAnsi="Times New Roman"/>
          <w:b w:val="0"/>
          <w:i w:val="0"/>
          <w:sz w:val="24"/>
        </w:rPr>
        <w:t xml:space="preserve"> We studied 12 core clinical specialties for which the Supreme Court reports specialty-specific litigation. Three official primary series drove the main analysis: physician counts by specialty from the biennial Statistics of Physicians, Dentists and Pharmacists</w:t>
      </w:r>
      <w:r>
        <w:rPr>
          <w:rFonts w:ascii="Times New Roman" w:hAnsi="Times New Roman"/>
          <w:sz w:val="22"/>
        </w:rPr>
        <w:t>[8]</w:t>
      </w:r>
      <w:r>
        <w:rPr>
          <w:rFonts w:ascii="Times New Roman" w:hAnsi="Times New Roman"/>
          <w:b w:val="0"/>
          <w:i w:val="0"/>
          <w:sz w:val="24"/>
        </w:rPr>
        <w:t>; closed malpractice claims by specialty from the Supreme Court of Japan</w:t>
      </w:r>
      <w:r>
        <w:rPr>
          <w:rFonts w:ascii="Times New Roman" w:hAnsi="Times New Roman"/>
          <w:sz w:val="22"/>
        </w:rPr>
        <w:t>[9]</w:t>
      </w:r>
      <w:r>
        <w:rPr>
          <w:rFonts w:ascii="Times New Roman" w:hAnsi="Times New Roman"/>
          <w:b w:val="0"/>
          <w:i w:val="0"/>
          <w:sz w:val="24"/>
        </w:rPr>
        <w:t>; and hospital counts by specialty from the annual Survey of Medical Institutions</w:t>
      </w:r>
      <w:r>
        <w:rPr>
          <w:rFonts w:ascii="Times New Roman" w:hAnsi="Times New Roman"/>
          <w:sz w:val="22"/>
        </w:rPr>
        <w:t>[10]</w:t>
      </w:r>
      <w:r>
        <w:rPr>
          <w:rFonts w:ascii="Times New Roman" w:hAnsi="Times New Roman"/>
          <w:b w:val="0"/>
          <w:i w:val="0"/>
          <w:sz w:val="24"/>
        </w:rPr>
        <w:t>. Two sensitivity series were also used: annual medical accident investigation reports by specialty from the Japan Medical Safety Research Organisation (JMSR, 2015-2024)</w:t>
      </w:r>
      <w:r>
        <w:rPr>
          <w:rFonts w:ascii="Times New Roman" w:hAnsi="Times New Roman"/>
          <w:sz w:val="22"/>
        </w:rPr>
        <w:t>[11]</w:t>
      </w:r>
      <w:r>
        <w:rPr>
          <w:rFonts w:ascii="Times New Roman" w:hAnsi="Times New Roman"/>
          <w:b w:val="0"/>
          <w:i w:val="0"/>
          <w:sz w:val="24"/>
        </w:rPr>
        <w:t xml:space="preserve"> and total national newspaper article counts from Nikkei Telecom 21 (2004-2018; the sensitivity analysis uses 2009-2018; keywords: 医療事故 + 医療過誤).</w:t>
      </w:r>
      <w:r>
        <w:rPr>
          <w:rFonts w:ascii="Times New Roman" w:hAnsi="Times New Roman"/>
          <w:sz w:val="22"/>
        </w:rPr>
        <w:t>[12]</w:t>
      </w:r>
      <w:r>
        <w:rPr>
          <w:rFonts w:ascii="Times New Roman" w:hAnsi="Times New Roman"/>
          <w:b w:val="0"/>
          <w:i w:val="0"/>
          <w:sz w:val="24"/>
        </w:rPr>
        <w:t xml:space="preserve"> The full extraction pipeline (with source identifiers and SHA-256 checksums) is documented in the accompanying repository (https://github.com/bougtoir/medical-accident-its-analysis).</w:t>
      </w:r>
    </w:p>
    <w:p>
      <w:pPr>
        <w:spacing w:line="480" w:lineRule="auto" w:after="120"/>
      </w:pPr>
      <w:r>
        <w:rPr>
          <w:rFonts w:ascii="Times New Roman" w:hAnsi="Times New Roman"/>
          <w:b w:val="0"/>
          <w:i w:val="0"/>
          <w:sz w:val="24"/>
        </w:rPr>
        <w:t>Physician counts use the principal-specialty (主たる診療科) classification; broad categories were matched to the Supreme Court's specialty labels, and subspecialties were aggregated in code.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2"/>
        </w:rPr>
        <w:t>[9]</w:t>
      </w:r>
      <w:r>
        <w:rPr>
          <w:rFonts w:ascii="Times New Roman" w:hAnsi="Times New Roman"/>
          <w:b w:val="0"/>
          <w:i w:val="0"/>
          <w:sz w:val="24"/>
        </w:rPr>
        <w:t xml:space="preserve"> We distinguish litigation from the Medical Accident Investigation System, which began in 2015 and covers only deaths and stillbirths judged unforeseen by the hospital administrator; it is not a general incident-reporting system and is not used as an exposure here.</w:t>
      </w:r>
      <w:r>
        <w:rPr>
          <w:rFonts w:ascii="Times New Roman" w:hAnsi="Times New Roman"/>
          <w:sz w:val="22"/>
        </w:rPr>
        <w:t>[13]</w:t>
      </w:r>
      <w:r>
        <w:rPr>
          <w:rFonts w:ascii="Times New Roman" w:hAnsi="Times New Roman"/>
          <w:b w:val="0"/>
          <w:i w:val="0"/>
          <w:sz w:val="24"/>
        </w:rPr>
        <w:t xml:space="preserve"> Primary data sources and their resolution are summarised in Supplementary Table 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because large specialties generate more claims for reasons unrelated to per-physician risk.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2"/>
        </w:rPr>
        <w:t>[14]</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standardised the litigation-rate exposure for the equivalence analysis so the coefficient gives the expected biennial log-change per one-SD increase in the exposure. Because only 12 specialties provide clusters, all reported confidence intervals and two-sided p-values use a t-distribution with G-1 = 11 degrees of freedom, the small-cluster correction recommended by Cameron and Miller.</w:t>
      </w:r>
      <w:r>
        <w:rPr>
          <w:rFonts w:ascii="Times New Roman" w:hAnsi="Times New Roman"/>
          <w:sz w:val="22"/>
        </w:rPr>
        <w:t>[15]</w:t>
      </w:r>
      <w:r>
        <w:rPr>
          <w:rFonts w:ascii="Times New Roman" w:hAnsi="Times New Roman"/>
          <w:b w:val="0"/>
          <w:i w:val="0"/>
          <w:sz w:val="24"/>
        </w:rPr>
        <w:t xml:space="preserve"> We assessed equivalence to a null effect using two one-sided tests (TOST).</w:t>
      </w:r>
      <w:r>
        <w:rPr>
          <w:rFonts w:ascii="Times New Roman" w:hAnsi="Times New Roman"/>
          <w:sz w:val="22"/>
        </w:rPr>
        <w:t>[4-5]</w:t>
      </w:r>
      <w:r>
        <w:rPr>
          <w:rFonts w:ascii="Times New Roman" w:hAnsi="Times New Roman"/>
          <w:b w:val="0"/>
          <w:i w:val="0"/>
          <w:sz w:val="24"/>
        </w:rPr>
        <w:t xml:space="preserve"> We pre-specified margins of ±1% and ±2% biennial workforce change because they are smaller than typical policy targets for specialty workforce rebalancing and represent changes that workforce planners would consider substantively small. An indicator for obstetrics and gynaecology from 2009 onward captured the JOCS-CP period.</w:t>
      </w:r>
      <w:r>
        <w:rPr>
          <w:rFonts w:ascii="Times New Roman" w:hAnsi="Times New Roman"/>
          <w:sz w:val="22"/>
        </w:rPr>
        <w:t>[6]</w:t>
      </w:r>
      <w:r>
        <w:rPr>
          <w:rFonts w:ascii="Times New Roman" w:hAnsi="Times New Roman"/>
          <w:b w:val="0"/>
          <w:i w:val="0"/>
          <w:sz w:val="24"/>
        </w:rPr>
        <w:t xml:space="preserve"> Sensitivity analyses repeated the models on (i) the annual hospital series, (ii) a linearly interpolated annual physician series (with degrees of freedom governed by the measured waves, not the interpolated n), (iii) raw counts instead of rates, (iv) the annual hospital series 2016-2024 additionally controlling for the JMSR report rate (reports per 1,000 physicians), and (v) the annual hospital series 2009–2018 additionally controlling for total Nikkei Telecom article counts. Because the article-count series is a national yearly variable, it is collinear with full wave fixed effects; this sensitivity therefore uses specialty fixed effects plus a linear time trend rather than wave dummies. The JOCS-CP indicator and all sensitivity models are exploratory; we report raw p-values and Holm step-down adjusted p-values for this family in Supplementary Table 5. Analyses used Python (statsmodels); code and data are openly available at https://github.com/bougtoir/medical-accident-its-analysis.</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varied several-fold across specialties and fell over time in 10 of 12 fields (Supplementary Figure 1). Over the same period the physician workforce grew in 11 of 12 specialties (Supplementary Figure 2; Table 1); the only exception was general surgery, which was essentially flat (-2.3% across 16 years). Exposure and workforce therefore did not move in opposite directions as a flight-from-risk account would predict.</w:t>
      </w:r>
    </w:p>
    <w:p>
      <w:pPr>
        <w:spacing w:before="280" w:after="120"/>
      </w:pPr>
      <w:r>
        <w:rPr>
          <w:rFonts w:ascii="Times New Roman" w:hAnsi="Times New Roman"/>
          <w:b/>
          <w:sz w:val="20"/>
        </w:rPr>
        <w:t>Table 1.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Specialty</w:t>
            </w:r>
          </w:p>
        </w:tc>
        <w:tc>
          <w:tcPr>
            <w:tcW w:type="dxa" w:w="1337"/>
          </w:tcPr>
          <w:p>
            <w:pPr>
              <w:jc w:val="center"/>
            </w:pPr>
            <w:r>
              <w:rPr>
                <w:rFonts w:ascii="Times New Roman" w:hAnsi="Times New Roman"/>
                <w:b/>
                <w:sz w:val="18"/>
              </w:rPr>
              <w:t>Physicians 2008</w:t>
            </w:r>
          </w:p>
        </w:tc>
        <w:tc>
          <w:tcPr>
            <w:tcW w:type="dxa" w:w="1337"/>
          </w:tcPr>
          <w:p>
            <w:pPr>
              <w:jc w:val="center"/>
            </w:pPr>
            <w:r>
              <w:rPr>
                <w:rFonts w:ascii="Times New Roman" w:hAnsi="Times New Roman"/>
                <w:b/>
                <w:sz w:val="18"/>
              </w:rPr>
              <w:t>Physicians 2024</w:t>
            </w:r>
          </w:p>
        </w:tc>
        <w:tc>
          <w:tcPr>
            <w:tcW w:type="dxa" w:w="1337"/>
          </w:tcPr>
          <w:p>
            <w:pPr>
              <w:jc w:val="center"/>
            </w:pPr>
            <w:r>
              <w:rPr>
                <w:rFonts w:ascii="Times New Roman" w:hAnsi="Times New Roman"/>
                <w:b/>
                <w:sz w:val="18"/>
              </w:rPr>
              <w:t>Lit. rate 2008</w:t>
            </w:r>
          </w:p>
        </w:tc>
        <w:tc>
          <w:tcPr>
            <w:tcW w:type="dxa" w:w="1337"/>
          </w:tcPr>
          <w:p>
            <w:pPr>
              <w:jc w:val="center"/>
            </w:pPr>
            <w:r>
              <w:rPr>
                <w:rFonts w:ascii="Times New Roman" w:hAnsi="Times New Roman"/>
                <w:b/>
                <w:sz w:val="18"/>
              </w:rPr>
              <w:t>Lit. rate 2024</w:t>
            </w:r>
          </w:p>
        </w:tc>
        <w:tc>
          <w:tcPr>
            <w:tcW w:type="dxa" w:w="1337"/>
          </w:tcPr>
          <w:p>
            <w:pPr>
              <w:jc w:val="center"/>
            </w:pPr>
            <w:r>
              <w:rPr>
                <w:rFonts w:ascii="Times New Roman" w:hAnsi="Times New Roman"/>
                <w:b/>
                <w:sz w:val="18"/>
              </w:rPr>
              <w:t>Hospitals 2008</w:t>
            </w:r>
          </w:p>
        </w:tc>
        <w:tc>
          <w:tcPr>
            <w:tcW w:type="dxa" w:w="1337"/>
          </w:tcPr>
          <w:p>
            <w:pPr>
              <w:jc w:val="center"/>
            </w:pPr>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pPr>
              <w:jc w:val="center"/>
            </w:pPr>
            <w:r>
              <w:rPr>
                <w:rFonts w:ascii="Times New Roman" w:hAnsi="Times New Roman"/>
                <w:sz w:val="18"/>
              </w:rPr>
              <w:t>102388</w:t>
            </w:r>
          </w:p>
        </w:tc>
        <w:tc>
          <w:tcPr>
            <w:tcW w:type="dxa" w:w="1337"/>
          </w:tcPr>
          <w:p>
            <w:pPr>
              <w:jc w:val="center"/>
            </w:pPr>
            <w:r>
              <w:rPr>
                <w:rFonts w:ascii="Times New Roman" w:hAnsi="Times New Roman"/>
                <w:sz w:val="18"/>
              </w:rPr>
              <w:t>124010</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1.48</w:t>
            </w:r>
          </w:p>
        </w:tc>
        <w:tc>
          <w:tcPr>
            <w:tcW w:type="dxa" w:w="1337"/>
          </w:tcPr>
          <w:p>
            <w:pPr>
              <w:jc w:val="center"/>
            </w:pPr>
            <w:r>
              <w:rPr>
                <w:rFonts w:ascii="Times New Roman" w:hAnsi="Times New Roman"/>
                <w:sz w:val="18"/>
              </w:rPr>
              <w:t>7725</w:t>
            </w:r>
          </w:p>
        </w:tc>
        <w:tc>
          <w:tcPr>
            <w:tcW w:type="dxa" w:w="1337"/>
          </w:tcPr>
          <w:p>
            <w:pPr>
              <w:jc w:val="center"/>
            </w:pPr>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pPr>
              <w:jc w:val="center"/>
            </w:pPr>
            <w:r>
              <w:rPr>
                <w:rFonts w:ascii="Times New Roman" w:hAnsi="Times New Roman"/>
                <w:sz w:val="18"/>
              </w:rPr>
              <w:t>27525</w:t>
            </w:r>
          </w:p>
        </w:tc>
        <w:tc>
          <w:tcPr>
            <w:tcW w:type="dxa" w:w="1337"/>
          </w:tcPr>
          <w:p>
            <w:pPr>
              <w:jc w:val="center"/>
            </w:pPr>
            <w:r>
              <w:rPr>
                <w:rFonts w:ascii="Times New Roman" w:hAnsi="Times New Roman"/>
                <w:sz w:val="18"/>
              </w:rPr>
              <w:t>26885</w:t>
            </w:r>
          </w:p>
        </w:tc>
        <w:tc>
          <w:tcPr>
            <w:tcW w:type="dxa" w:w="1337"/>
          </w:tcPr>
          <w:p>
            <w:pPr>
              <w:jc w:val="center"/>
            </w:pPr>
            <w:r>
              <w:rPr>
                <w:rFonts w:ascii="Times New Roman" w:hAnsi="Times New Roman"/>
                <w:sz w:val="18"/>
              </w:rPr>
              <w:t>6.54</w:t>
            </w:r>
          </w:p>
        </w:tc>
        <w:tc>
          <w:tcPr>
            <w:tcW w:type="dxa" w:w="1337"/>
          </w:tcPr>
          <w:p>
            <w:pPr>
              <w:jc w:val="center"/>
            </w:pPr>
            <w:r>
              <w:rPr>
                <w:rFonts w:ascii="Times New Roman" w:hAnsi="Times New Roman"/>
                <w:sz w:val="18"/>
              </w:rPr>
              <w:t>2.83</w:t>
            </w:r>
          </w:p>
        </w:tc>
        <w:tc>
          <w:tcPr>
            <w:tcW w:type="dxa" w:w="1337"/>
          </w:tcPr>
          <w:p>
            <w:pPr>
              <w:jc w:val="center"/>
            </w:pPr>
            <w:r>
              <w:rPr>
                <w:rFonts w:ascii="Times New Roman" w:hAnsi="Times New Roman"/>
                <w:sz w:val="18"/>
              </w:rPr>
              <w:t>4994</w:t>
            </w:r>
          </w:p>
        </w:tc>
        <w:tc>
          <w:tcPr>
            <w:tcW w:type="dxa" w:w="1337"/>
          </w:tcPr>
          <w:p>
            <w:pPr>
              <w:jc w:val="center"/>
            </w:pPr>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pPr>
              <w:jc w:val="center"/>
            </w:pPr>
            <w:r>
              <w:rPr>
                <w:rFonts w:ascii="Times New Roman" w:hAnsi="Times New Roman"/>
                <w:sz w:val="18"/>
              </w:rPr>
              <w:t>19273</w:t>
            </w:r>
          </w:p>
        </w:tc>
        <w:tc>
          <w:tcPr>
            <w:tcW w:type="dxa" w:w="1337"/>
          </w:tcPr>
          <w:p>
            <w:pPr>
              <w:jc w:val="center"/>
            </w:pPr>
            <w:r>
              <w:rPr>
                <w:rFonts w:ascii="Times New Roman" w:hAnsi="Times New Roman"/>
                <w:sz w:val="18"/>
              </w:rPr>
              <w:t>22630</w:t>
            </w:r>
          </w:p>
        </w:tc>
        <w:tc>
          <w:tcPr>
            <w:tcW w:type="dxa" w:w="1337"/>
          </w:tcPr>
          <w:p>
            <w:pPr>
              <w:jc w:val="center"/>
            </w:pPr>
            <w:r>
              <w:rPr>
                <w:rFonts w:ascii="Times New Roman" w:hAnsi="Times New Roman"/>
                <w:sz w:val="18"/>
              </w:rPr>
              <w:t>5.60</w:t>
            </w:r>
          </w:p>
        </w:tc>
        <w:tc>
          <w:tcPr>
            <w:tcW w:type="dxa" w:w="1337"/>
          </w:tcPr>
          <w:p>
            <w:pPr>
              <w:jc w:val="center"/>
            </w:pPr>
            <w:r>
              <w:rPr>
                <w:rFonts w:ascii="Times New Roman" w:hAnsi="Times New Roman"/>
                <w:sz w:val="18"/>
              </w:rPr>
              <w:t>2.87</w:t>
            </w:r>
          </w:p>
        </w:tc>
        <w:tc>
          <w:tcPr>
            <w:tcW w:type="dxa" w:w="1337"/>
          </w:tcPr>
          <w:p>
            <w:pPr>
              <w:jc w:val="center"/>
            </w:pPr>
            <w:r>
              <w:rPr>
                <w:rFonts w:ascii="Times New Roman" w:hAnsi="Times New Roman"/>
                <w:sz w:val="18"/>
              </w:rPr>
              <w:t>5094</w:t>
            </w:r>
          </w:p>
        </w:tc>
        <w:tc>
          <w:tcPr>
            <w:tcW w:type="dxa" w:w="1337"/>
          </w:tcPr>
          <w:p>
            <w:pPr>
              <w:jc w:val="center"/>
            </w:pPr>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pPr>
              <w:jc w:val="center"/>
            </w:pPr>
            <w:r>
              <w:rPr>
                <w:rFonts w:ascii="Times New Roman" w:hAnsi="Times New Roman"/>
                <w:sz w:val="18"/>
              </w:rPr>
              <w:t>2520</w:t>
            </w:r>
          </w:p>
        </w:tc>
        <w:tc>
          <w:tcPr>
            <w:tcW w:type="dxa" w:w="1337"/>
          </w:tcPr>
          <w:p>
            <w:pPr>
              <w:jc w:val="center"/>
            </w:pPr>
            <w:r>
              <w:rPr>
                <w:rFonts w:ascii="Times New Roman" w:hAnsi="Times New Roman"/>
                <w:sz w:val="18"/>
              </w:rPr>
              <w:t>5074</w:t>
            </w:r>
          </w:p>
        </w:tc>
        <w:tc>
          <w:tcPr>
            <w:tcW w:type="dxa" w:w="1337"/>
          </w:tcPr>
          <w:p>
            <w:pPr>
              <w:jc w:val="center"/>
            </w:pPr>
            <w:r>
              <w:rPr>
                <w:rFonts w:ascii="Times New Roman" w:hAnsi="Times New Roman"/>
                <w:sz w:val="18"/>
              </w:rPr>
              <w:t>7.14</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1090</w:t>
            </w:r>
          </w:p>
        </w:tc>
        <w:tc>
          <w:tcPr>
            <w:tcW w:type="dxa" w:w="1337"/>
          </w:tcPr>
          <w:p>
            <w:pPr>
              <w:jc w:val="center"/>
            </w:pPr>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pPr>
              <w:jc w:val="center"/>
            </w:pPr>
            <w:r>
              <w:rPr>
                <w:rFonts w:ascii="Times New Roman" w:hAnsi="Times New Roman"/>
                <w:sz w:val="18"/>
              </w:rPr>
              <w:t>11961</w:t>
            </w:r>
          </w:p>
        </w:tc>
        <w:tc>
          <w:tcPr>
            <w:tcW w:type="dxa" w:w="1337"/>
          </w:tcPr>
          <w:p>
            <w:pPr>
              <w:jc w:val="center"/>
            </w:pPr>
            <w:r>
              <w:rPr>
                <w:rFonts w:ascii="Times New Roman" w:hAnsi="Times New Roman"/>
                <w:sz w:val="18"/>
              </w:rPr>
              <w:t>13908</w:t>
            </w:r>
          </w:p>
        </w:tc>
        <w:tc>
          <w:tcPr>
            <w:tcW w:type="dxa" w:w="1337"/>
          </w:tcPr>
          <w:p>
            <w:pPr>
              <w:jc w:val="center"/>
            </w:pPr>
            <w:r>
              <w:rPr>
                <w:rFonts w:ascii="Times New Roman" w:hAnsi="Times New Roman"/>
                <w:sz w:val="18"/>
              </w:rPr>
              <w:t>8.28</w:t>
            </w:r>
          </w:p>
        </w:tc>
        <w:tc>
          <w:tcPr>
            <w:tcW w:type="dxa" w:w="1337"/>
          </w:tcPr>
          <w:p>
            <w:pPr>
              <w:jc w:val="center"/>
            </w:pPr>
            <w:r>
              <w:rPr>
                <w:rFonts w:ascii="Times New Roman" w:hAnsi="Times New Roman"/>
                <w:sz w:val="18"/>
              </w:rPr>
              <w:t>2.23</w:t>
            </w:r>
          </w:p>
        </w:tc>
        <w:tc>
          <w:tcPr>
            <w:tcW w:type="dxa" w:w="1337"/>
          </w:tcPr>
          <w:p>
            <w:pPr>
              <w:jc w:val="center"/>
            </w:pPr>
            <w:r>
              <w:rPr>
                <w:rFonts w:ascii="Times New Roman" w:hAnsi="Times New Roman"/>
                <w:sz w:val="18"/>
              </w:rPr>
              <w:t>1319</w:t>
            </w:r>
          </w:p>
        </w:tc>
        <w:tc>
          <w:tcPr>
            <w:tcW w:type="dxa" w:w="1337"/>
          </w:tcPr>
          <w:p>
            <w:pPr>
              <w:jc w:val="center"/>
            </w:pPr>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pPr>
              <w:jc w:val="center"/>
            </w:pPr>
            <w:r>
              <w:rPr>
                <w:rFonts w:ascii="Times New Roman" w:hAnsi="Times New Roman"/>
                <w:sz w:val="18"/>
              </w:rPr>
              <w:t>15236</w:t>
            </w:r>
          </w:p>
        </w:tc>
        <w:tc>
          <w:tcPr>
            <w:tcW w:type="dxa" w:w="1337"/>
          </w:tcPr>
          <w:p>
            <w:pPr>
              <w:jc w:val="center"/>
            </w:pPr>
            <w:r>
              <w:rPr>
                <w:rFonts w:ascii="Times New Roman" w:hAnsi="Times New Roman"/>
                <w:sz w:val="18"/>
              </w:rPr>
              <w:t>18009</w:t>
            </w:r>
          </w:p>
        </w:tc>
        <w:tc>
          <w:tcPr>
            <w:tcW w:type="dxa" w:w="1337"/>
          </w:tcPr>
          <w:p>
            <w:pPr>
              <w:jc w:val="center"/>
            </w:pPr>
            <w:r>
              <w:rPr>
                <w:rFonts w:ascii="Times New Roman" w:hAnsi="Times New Roman"/>
                <w:sz w:val="18"/>
              </w:rPr>
              <w:t>1.44</w:t>
            </w:r>
          </w:p>
        </w:tc>
        <w:tc>
          <w:tcPr>
            <w:tcW w:type="dxa" w:w="1337"/>
          </w:tcPr>
          <w:p>
            <w:pPr>
              <w:jc w:val="center"/>
            </w:pPr>
            <w:r>
              <w:rPr>
                <w:rFonts w:ascii="Times New Roman" w:hAnsi="Times New Roman"/>
                <w:sz w:val="18"/>
              </w:rPr>
              <w:t>0.44</w:t>
            </w:r>
          </w:p>
        </w:tc>
        <w:tc>
          <w:tcPr>
            <w:tcW w:type="dxa" w:w="1337"/>
          </w:tcPr>
          <w:p>
            <w:pPr>
              <w:jc w:val="center"/>
            </w:pPr>
            <w:r>
              <w:rPr>
                <w:rFonts w:ascii="Times New Roman" w:hAnsi="Times New Roman"/>
                <w:sz w:val="18"/>
              </w:rPr>
              <w:t>2932</w:t>
            </w:r>
          </w:p>
        </w:tc>
        <w:tc>
          <w:tcPr>
            <w:tcW w:type="dxa" w:w="1337"/>
          </w:tcPr>
          <w:p>
            <w:pPr>
              <w:jc w:val="center"/>
            </w:pPr>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pPr>
              <w:jc w:val="center"/>
            </w:pPr>
            <w:r>
              <w:rPr>
                <w:rFonts w:ascii="Times New Roman" w:hAnsi="Times New Roman"/>
                <w:sz w:val="18"/>
              </w:rPr>
              <w:t>13534</w:t>
            </w:r>
          </w:p>
        </w:tc>
        <w:tc>
          <w:tcPr>
            <w:tcW w:type="dxa" w:w="1337"/>
          </w:tcPr>
          <w:p>
            <w:pPr>
              <w:jc w:val="center"/>
            </w:pPr>
            <w:r>
              <w:rPr>
                <w:rFonts w:ascii="Times New Roman" w:hAnsi="Times New Roman"/>
                <w:sz w:val="18"/>
              </w:rPr>
              <w:t>17259</w:t>
            </w:r>
          </w:p>
        </w:tc>
        <w:tc>
          <w:tcPr>
            <w:tcW w:type="dxa" w:w="1337"/>
          </w:tcPr>
          <w:p>
            <w:pPr>
              <w:jc w:val="center"/>
            </w:pPr>
            <w:r>
              <w:rPr>
                <w:rFonts w:ascii="Times New Roman" w:hAnsi="Times New Roman"/>
                <w:sz w:val="18"/>
              </w:rPr>
              <w:t>2.22</w:t>
            </w:r>
          </w:p>
        </w:tc>
        <w:tc>
          <w:tcPr>
            <w:tcW w:type="dxa" w:w="1337"/>
          </w:tcPr>
          <w:p>
            <w:pPr>
              <w:jc w:val="center"/>
            </w:pPr>
            <w:r>
              <w:rPr>
                <w:rFonts w:ascii="Times New Roman" w:hAnsi="Times New Roman"/>
                <w:sz w:val="18"/>
              </w:rPr>
              <w:t>1.80</w:t>
            </w:r>
          </w:p>
        </w:tc>
        <w:tc>
          <w:tcPr>
            <w:tcW w:type="dxa" w:w="1337"/>
          </w:tcPr>
          <w:p>
            <w:pPr>
              <w:jc w:val="center"/>
            </w:pPr>
            <w:r>
              <w:rPr>
                <w:rFonts w:ascii="Times New Roman" w:hAnsi="Times New Roman"/>
                <w:sz w:val="18"/>
              </w:rPr>
              <w:t>2618</w:t>
            </w:r>
          </w:p>
        </w:tc>
        <w:tc>
          <w:tcPr>
            <w:tcW w:type="dxa" w:w="1337"/>
          </w:tcPr>
          <w:p>
            <w:pPr>
              <w:jc w:val="center"/>
            </w:pPr>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pPr>
              <w:jc w:val="center"/>
            </w:pPr>
            <w:r>
              <w:rPr>
                <w:rFonts w:ascii="Times New Roman" w:hAnsi="Times New Roman"/>
                <w:sz w:val="18"/>
              </w:rPr>
              <w:t>12627</w:t>
            </w:r>
          </w:p>
        </w:tc>
        <w:tc>
          <w:tcPr>
            <w:tcW w:type="dxa" w:w="1337"/>
          </w:tcPr>
          <w:p>
            <w:pPr>
              <w:jc w:val="center"/>
            </w:pPr>
            <w:r>
              <w:rPr>
                <w:rFonts w:ascii="Times New Roman" w:hAnsi="Times New Roman"/>
                <w:sz w:val="18"/>
              </w:rPr>
              <w:t>13436</w:t>
            </w:r>
          </w:p>
        </w:tc>
        <w:tc>
          <w:tcPr>
            <w:tcW w:type="dxa" w:w="1337"/>
          </w:tcPr>
          <w:p>
            <w:pPr>
              <w:jc w:val="center"/>
            </w:pPr>
            <w:r>
              <w:rPr>
                <w:rFonts w:ascii="Times New Roman" w:hAnsi="Times New Roman"/>
                <w:sz w:val="18"/>
              </w:rPr>
              <w:t>2.14</w:t>
            </w:r>
          </w:p>
        </w:tc>
        <w:tc>
          <w:tcPr>
            <w:tcW w:type="dxa" w:w="1337"/>
          </w:tcPr>
          <w:p>
            <w:pPr>
              <w:jc w:val="center"/>
            </w:pPr>
            <w:r>
              <w:rPr>
                <w:rFonts w:ascii="Times New Roman" w:hAnsi="Times New Roman"/>
                <w:sz w:val="18"/>
              </w:rPr>
              <w:t>1.04</w:t>
            </w:r>
          </w:p>
        </w:tc>
        <w:tc>
          <w:tcPr>
            <w:tcW w:type="dxa" w:w="1337"/>
          </w:tcPr>
          <w:p>
            <w:pPr>
              <w:jc w:val="center"/>
            </w:pPr>
            <w:r>
              <w:rPr>
                <w:rFonts w:ascii="Times New Roman" w:hAnsi="Times New Roman"/>
                <w:sz w:val="18"/>
              </w:rPr>
              <w:t>2501</w:t>
            </w:r>
          </w:p>
        </w:tc>
        <w:tc>
          <w:tcPr>
            <w:tcW w:type="dxa" w:w="1337"/>
          </w:tcPr>
          <w:p>
            <w:pPr>
              <w:jc w:val="center"/>
            </w:pPr>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pPr>
              <w:jc w:val="center"/>
            </w:pPr>
            <w:r>
              <w:rPr>
                <w:rFonts w:ascii="Times New Roman" w:hAnsi="Times New Roman"/>
                <w:sz w:val="18"/>
              </w:rPr>
              <w:t>8936</w:t>
            </w:r>
          </w:p>
        </w:tc>
        <w:tc>
          <w:tcPr>
            <w:tcW w:type="dxa" w:w="1337"/>
          </w:tcPr>
          <w:p>
            <w:pPr>
              <w:jc w:val="center"/>
            </w:pPr>
            <w:r>
              <w:rPr>
                <w:rFonts w:ascii="Times New Roman" w:hAnsi="Times New Roman"/>
                <w:sz w:val="18"/>
              </w:rPr>
              <w:t>9330</w:t>
            </w:r>
          </w:p>
        </w:tc>
        <w:tc>
          <w:tcPr>
            <w:tcW w:type="dxa" w:w="1337"/>
          </w:tcPr>
          <w:p>
            <w:pPr>
              <w:jc w:val="center"/>
            </w:pPr>
            <w:r>
              <w:rPr>
                <w:rFonts w:ascii="Times New Roman" w:hAnsi="Times New Roman"/>
                <w:sz w:val="18"/>
              </w:rPr>
              <w:t>2.13</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2039</w:t>
            </w:r>
          </w:p>
        </w:tc>
        <w:tc>
          <w:tcPr>
            <w:tcW w:type="dxa" w:w="1337"/>
          </w:tcPr>
          <w:p>
            <w:pPr>
              <w:jc w:val="center"/>
            </w:pPr>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pPr>
              <w:jc w:val="center"/>
            </w:pPr>
            <w:r>
              <w:rPr>
                <w:rFonts w:ascii="Times New Roman" w:hAnsi="Times New Roman"/>
                <w:sz w:val="18"/>
              </w:rPr>
              <w:t>6324</w:t>
            </w:r>
          </w:p>
        </w:tc>
        <w:tc>
          <w:tcPr>
            <w:tcW w:type="dxa" w:w="1337"/>
          </w:tcPr>
          <w:p>
            <w:pPr>
              <w:jc w:val="center"/>
            </w:pPr>
            <w:r>
              <w:rPr>
                <w:rFonts w:ascii="Times New Roman" w:hAnsi="Times New Roman"/>
                <w:sz w:val="18"/>
              </w:rPr>
              <w:t>8069</w:t>
            </w:r>
          </w:p>
        </w:tc>
        <w:tc>
          <w:tcPr>
            <w:tcW w:type="dxa" w:w="1337"/>
          </w:tcPr>
          <w:p>
            <w:pPr>
              <w:jc w:val="center"/>
            </w:pPr>
            <w:r>
              <w:rPr>
                <w:rFonts w:ascii="Times New Roman" w:hAnsi="Times New Roman"/>
                <w:sz w:val="18"/>
              </w:rPr>
              <w:t>2.85</w:t>
            </w:r>
          </w:p>
        </w:tc>
        <w:tc>
          <w:tcPr>
            <w:tcW w:type="dxa" w:w="1337"/>
          </w:tcPr>
          <w:p>
            <w:pPr>
              <w:jc w:val="center"/>
            </w:pPr>
            <w:r>
              <w:rPr>
                <w:rFonts w:ascii="Times New Roman" w:hAnsi="Times New Roman"/>
                <w:sz w:val="18"/>
              </w:rPr>
              <w:t>2.11</w:t>
            </w:r>
          </w:p>
        </w:tc>
        <w:tc>
          <w:tcPr>
            <w:tcW w:type="dxa" w:w="1337"/>
          </w:tcPr>
          <w:p>
            <w:pPr>
              <w:jc w:val="center"/>
            </w:pPr>
            <w:r>
              <w:rPr>
                <w:rFonts w:ascii="Times New Roman" w:hAnsi="Times New Roman"/>
                <w:sz w:val="18"/>
              </w:rPr>
              <w:t>2799</w:t>
            </w:r>
          </w:p>
        </w:tc>
        <w:tc>
          <w:tcPr>
            <w:tcW w:type="dxa" w:w="1337"/>
          </w:tcPr>
          <w:p>
            <w:pPr>
              <w:jc w:val="center"/>
            </w:pPr>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pPr>
              <w:jc w:val="center"/>
            </w:pPr>
            <w:r>
              <w:rPr>
                <w:rFonts w:ascii="Times New Roman" w:hAnsi="Times New Roman"/>
                <w:sz w:val="18"/>
              </w:rPr>
              <w:t>8214</w:t>
            </w:r>
          </w:p>
        </w:tc>
        <w:tc>
          <w:tcPr>
            <w:tcW w:type="dxa" w:w="1337"/>
          </w:tcPr>
          <w:p>
            <w:pPr>
              <w:jc w:val="center"/>
            </w:pPr>
            <w:r>
              <w:rPr>
                <w:rFonts w:ascii="Times New Roman" w:hAnsi="Times New Roman"/>
                <w:sz w:val="18"/>
              </w:rPr>
              <w:t>10043</w:t>
            </w:r>
          </w:p>
        </w:tc>
        <w:tc>
          <w:tcPr>
            <w:tcW w:type="dxa" w:w="1337"/>
          </w:tcPr>
          <w:p>
            <w:pPr>
              <w:jc w:val="center"/>
            </w:pPr>
            <w:r>
              <w:rPr>
                <w:rFonts w:ascii="Times New Roman" w:hAnsi="Times New Roman"/>
                <w:sz w:val="18"/>
              </w:rPr>
              <w:t>1.10</w:t>
            </w:r>
          </w:p>
        </w:tc>
        <w:tc>
          <w:tcPr>
            <w:tcW w:type="dxa" w:w="1337"/>
          </w:tcPr>
          <w:p>
            <w:pPr>
              <w:jc w:val="center"/>
            </w:pPr>
            <w:r>
              <w:rPr>
                <w:rFonts w:ascii="Times New Roman" w:hAnsi="Times New Roman"/>
                <w:sz w:val="18"/>
              </w:rPr>
              <w:t>1.39</w:t>
            </w:r>
          </w:p>
        </w:tc>
        <w:tc>
          <w:tcPr>
            <w:tcW w:type="dxa" w:w="1337"/>
          </w:tcPr>
          <w:p>
            <w:pPr>
              <w:jc w:val="center"/>
            </w:pPr>
            <w:r>
              <w:rPr>
                <w:rFonts w:ascii="Times New Roman" w:hAnsi="Times New Roman"/>
                <w:sz w:val="18"/>
              </w:rPr>
              <w:t>3040</w:t>
            </w:r>
          </w:p>
        </w:tc>
        <w:tc>
          <w:tcPr>
            <w:tcW w:type="dxa" w:w="1337"/>
          </w:tcPr>
          <w:p>
            <w:pPr>
              <w:jc w:val="center"/>
            </w:pPr>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pPr>
              <w:jc w:val="center"/>
            </w:pPr>
            <w:r>
              <w:rPr>
                <w:rFonts w:ascii="Times New Roman" w:hAnsi="Times New Roman"/>
                <w:sz w:val="18"/>
              </w:rPr>
              <w:t>7067</w:t>
            </w:r>
          </w:p>
        </w:tc>
        <w:tc>
          <w:tcPr>
            <w:tcW w:type="dxa" w:w="1337"/>
          </w:tcPr>
          <w:p>
            <w:pPr>
              <w:jc w:val="center"/>
            </w:pPr>
            <w:r>
              <w:rPr>
                <w:rFonts w:ascii="Times New Roman" w:hAnsi="Times New Roman"/>
                <w:sz w:val="18"/>
              </w:rPr>
              <w:t>10628</w:t>
            </w:r>
          </w:p>
        </w:tc>
        <w:tc>
          <w:tcPr>
            <w:tcW w:type="dxa" w:w="1337"/>
          </w:tcPr>
          <w:p>
            <w:pPr>
              <w:jc w:val="center"/>
            </w:pPr>
            <w:r>
              <w:rPr>
                <w:rFonts w:ascii="Times New Roman" w:hAnsi="Times New Roman"/>
                <w:sz w:val="18"/>
              </w:rPr>
              <w:t>1.13</w:t>
            </w:r>
          </w:p>
        </w:tc>
        <w:tc>
          <w:tcPr>
            <w:tcW w:type="dxa" w:w="1337"/>
          </w:tcPr>
          <w:p>
            <w:pPr>
              <w:jc w:val="center"/>
            </w:pPr>
            <w:r>
              <w:rPr>
                <w:rFonts w:ascii="Times New Roman" w:hAnsi="Times New Roman"/>
                <w:sz w:val="18"/>
              </w:rPr>
              <w:t>0.38</w:t>
            </w:r>
          </w:p>
        </w:tc>
        <w:tc>
          <w:tcPr>
            <w:tcW w:type="dxa" w:w="1337"/>
          </w:tcPr>
          <w:p>
            <w:pPr>
              <w:jc w:val="center"/>
            </w:pPr>
            <w:r>
              <w:rPr>
                <w:rFonts w:ascii="Times New Roman" w:hAnsi="Times New Roman"/>
                <w:sz w:val="18"/>
              </w:rPr>
              <w:t>2525</w:t>
            </w:r>
          </w:p>
        </w:tc>
        <w:tc>
          <w:tcPr>
            <w:tcW w:type="dxa" w:w="1337"/>
          </w:tcPr>
          <w:p>
            <w:pPr>
              <w:jc w:val="center"/>
            </w:pPr>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-0.0043 to +0.0025; p=0.56; n=96) or with hospital growth (coefficient +0.0003; p=0.90). Equivalence testing (Figure 1; Table 2) showed that a 1-SD higher litigation rate changed biennial physician growth by less than ±1% (TOST p=0.023; point estimate -0.21% with 90% CI -0.84% to +0.42%). For hospital growth the point estimate was +0.07% (90% CI -0.91% to +1.06%): it was within the ±2% margin (p=0.002) but not the stricter ±1% margin (p=0.059). Thus the data are consistent with the absence of a policy-relevant effect on physician growth, and with at most a small effect on hospital growth. Detailed TOST results by margin are reported in Supplementary Table 2.</w:t>
      </w:r>
    </w:p>
    <w:p>
      <w:pPr>
        <w:spacing w:before="280" w:after="120"/>
      </w:pPr>
      <w:r>
        <w:rPr>
          <w:rFonts w:ascii="Times New Roman" w:hAnsi="Times New Roman"/>
          <w:b/>
          <w:sz w:val="20"/>
        </w:rPr>
        <w:t>Figure 1.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1" name="Picture 1"/>
            <wp:cNvGraphicFramePr>
              <a:graphicFrameLocks noChangeAspect="1"/>
            </wp:cNvGraphicFramePr>
            <a:graphic>
              <a:graphicData uri="http://schemas.openxmlformats.org/drawingml/2006/picture">
                <pic:pic>
                  <pic:nvPicPr>
                    <pic:cNvPr id="0" name="ha_Figure_1.png"/>
                    <pic:cNvPicPr/>
                  </pic:nvPicPr>
                  <pic:blipFill>
                    <a:blip r:embed="rId9"/>
                    <a:stretch>
                      <a:fillRect/>
                    </a:stretch>
                  </pic:blipFill>
                  <pic:spPr>
                    <a:xfrm>
                      <a:off x="0" y="0"/>
                      <a:ext cx="5303520" cy="2357120"/>
                    </a:xfrm>
                    <a:prstGeom prst="rect"/>
                  </pic:spPr>
                </pic:pic>
              </a:graphicData>
            </a:graphic>
          </wp:inline>
        </w:drawing>
      </w:r>
    </w:p>
    <w:p/>
    <w:p>
      <w:pPr>
        <w:spacing w:before="280" w:after="120"/>
      </w:pPr>
      <w:r>
        <w:rPr>
          <w:rFonts w:ascii="Times New Roman" w:hAnsi="Times New Roman"/>
          <w:b/>
          <w:sz w:val="20"/>
        </w:rPr>
        <w:t>Table 2.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Model</w:t>
            </w:r>
          </w:p>
        </w:tc>
        <w:tc>
          <w:tcPr>
            <w:tcW w:type="dxa" w:w="1872"/>
          </w:tcPr>
          <w:p>
            <w:pPr>
              <w:jc w:val="center"/>
            </w:pPr>
            <w:r>
              <w:rPr>
                <w:rFonts w:ascii="Times New Roman" w:hAnsi="Times New Roman"/>
                <w:b/>
                <w:sz w:val="18"/>
              </w:rPr>
              <w:t>Coefficient</w:t>
            </w:r>
          </w:p>
        </w:tc>
        <w:tc>
          <w:tcPr>
            <w:tcW w:type="dxa" w:w="1872"/>
          </w:tcPr>
          <w:p>
            <w:pPr>
              <w:jc w:val="center"/>
            </w:pPr>
            <w:r>
              <w:rPr>
                <w:rFonts w:ascii="Times New Roman" w:hAnsi="Times New Roman"/>
                <w:b/>
                <w:sz w:val="18"/>
              </w:rPr>
              <w:t>95% CI</w:t>
            </w:r>
          </w:p>
        </w:tc>
        <w:tc>
          <w:tcPr>
            <w:tcW w:type="dxa" w:w="1872"/>
          </w:tcPr>
          <w:p>
            <w:pPr>
              <w:jc w:val="center"/>
            </w:pPr>
            <w:r>
              <w:rPr>
                <w:rFonts w:ascii="Times New Roman" w:hAnsi="Times New Roman"/>
                <w:b/>
                <w:sz w:val="18"/>
              </w:rPr>
              <w:t>p</w:t>
            </w:r>
          </w:p>
        </w:tc>
        <w:tc>
          <w:tcPr>
            <w:tcW w:type="dxa" w:w="1872"/>
          </w:tcPr>
          <w:p>
            <w:pPr>
              <w:jc w:val="center"/>
            </w:pPr>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pPr>
              <w:jc w:val="center"/>
            </w:pPr>
            <w:r>
              <w:rPr>
                <w:rFonts w:ascii="Times New Roman" w:hAnsi="Times New Roman"/>
                <w:sz w:val="18"/>
              </w:rPr>
              <w:t>-0.0009</w:t>
            </w:r>
          </w:p>
        </w:tc>
        <w:tc>
          <w:tcPr>
            <w:tcW w:type="dxa" w:w="1872"/>
          </w:tcPr>
          <w:p>
            <w:pPr>
              <w:jc w:val="center"/>
            </w:pPr>
            <w:r>
              <w:rPr>
                <w:rFonts w:ascii="Times New Roman" w:hAnsi="Times New Roman"/>
                <w:sz w:val="18"/>
              </w:rPr>
              <w:t>-0.0043, +0.0025</w:t>
            </w:r>
          </w:p>
        </w:tc>
        <w:tc>
          <w:tcPr>
            <w:tcW w:type="dxa" w:w="1872"/>
          </w:tcPr>
          <w:p>
            <w:pPr>
              <w:jc w:val="center"/>
            </w:pPr>
            <w:r>
              <w:rPr>
                <w:rFonts w:ascii="Times New Roman" w:hAnsi="Times New Roman"/>
                <w:sz w:val="18"/>
              </w:rPr>
              <w:t>0.56</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pPr>
              <w:jc w:val="center"/>
            </w:pPr>
            <w:r>
              <w:rPr>
                <w:rFonts w:ascii="Times New Roman" w:hAnsi="Times New Roman"/>
                <w:sz w:val="18"/>
              </w:rPr>
              <w:t>+0.0003</w:t>
            </w:r>
          </w:p>
        </w:tc>
        <w:tc>
          <w:tcPr>
            <w:tcW w:type="dxa" w:w="1872"/>
          </w:tcPr>
          <w:p>
            <w:pPr>
              <w:jc w:val="center"/>
            </w:pPr>
            <w:r>
              <w:rPr>
                <w:rFonts w:ascii="Times New Roman" w:hAnsi="Times New Roman"/>
                <w:sz w:val="18"/>
              </w:rPr>
              <w:t>-0.0050, +0.0056</w:t>
            </w:r>
          </w:p>
        </w:tc>
        <w:tc>
          <w:tcPr>
            <w:tcW w:type="dxa" w:w="1872"/>
          </w:tcPr>
          <w:p>
            <w:pPr>
              <w:jc w:val="center"/>
            </w:pPr>
            <w:r>
              <w:rPr>
                <w:rFonts w:ascii="Times New Roman" w:hAnsi="Times New Roman"/>
                <w:sz w:val="18"/>
              </w:rPr>
              <w:t>0.90</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pPr>
              <w:jc w:val="center"/>
            </w:pPr>
            <w:r>
              <w:rPr>
                <w:rFonts w:ascii="Times New Roman" w:hAnsi="Times New Roman"/>
                <w:sz w:val="18"/>
              </w:rPr>
              <w:t>+0.0002</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0.51</w:t>
            </w:r>
          </w:p>
        </w:tc>
        <w:tc>
          <w:tcPr>
            <w:tcW w:type="dxa" w:w="1872"/>
          </w:tcPr>
          <w:p>
            <w:pPr>
              <w:jc w:val="center"/>
            </w:pPr>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pPr>
              <w:jc w:val="center"/>
            </w:pPr>
            <w:r>
              <w:rPr>
                <w:rFonts w:ascii="Times New Roman" w:hAnsi="Times New Roman"/>
                <w:sz w:val="18"/>
              </w:rPr>
              <w:t>+0.0000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0.99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pPr>
              <w:jc w:val="center"/>
            </w:pPr>
            <w:r>
              <w:rPr>
                <w:rFonts w:ascii="Times New Roman" w:hAnsi="Times New Roman"/>
                <w:sz w:val="18"/>
              </w:rPr>
              <w:t>-0.0010</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0.39</w:t>
            </w:r>
          </w:p>
        </w:tc>
        <w:tc>
          <w:tcPr>
            <w:tcW w:type="dxa" w:w="1872"/>
          </w:tcPr>
          <w:p>
            <w:pPr>
              <w:jc w:val="center"/>
            </w:pPr>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pPr>
              <w:jc w:val="center"/>
            </w:pPr>
            <w:r>
              <w:rPr>
                <w:rFonts w:ascii="Times New Roman" w:hAnsi="Times New Roman"/>
                <w:sz w:val="18"/>
              </w:rPr>
              <w:t>+0.097</w:t>
            </w:r>
          </w:p>
        </w:tc>
        <w:tc>
          <w:tcPr>
            <w:tcW w:type="dxa" w:w="1872"/>
          </w:tcPr>
          <w:p>
            <w:pPr>
              <w:jc w:val="center"/>
            </w:pPr>
            <w:r>
              <w:rPr>
                <w:rFonts w:ascii="Times New Roman" w:hAnsi="Times New Roman"/>
                <w:sz w:val="18"/>
              </w:rPr>
              <w:t>—</w:t>
            </w:r>
          </w:p>
        </w:tc>
        <w:tc>
          <w:tcPr>
            <w:tcW w:type="dxa" w:w="1872"/>
          </w:tcPr>
          <w:p>
            <w:pPr>
              <w:jc w:val="center"/>
            </w:pPr>
            <w:r>
              <w:rPr>
                <w:rFonts w:ascii="Times New Roman" w:hAnsi="Times New Roman"/>
                <w:sz w:val="18"/>
              </w:rPr>
              <w:t>0.85</w:t>
            </w:r>
          </w:p>
        </w:tc>
        <w:tc>
          <w:tcPr>
            <w:tcW w:type="dxa" w:w="1872"/>
          </w:tcPr>
          <w:p>
            <w:pPr>
              <w:jc w:val="center"/>
            </w:pPr>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(p=0.51). Figure 2 illustrates the difference between the two exposure definitions: a count exposure spans specialty size (panel a), whereas the size-adjusted rate does not (panel b); points are coloured by specialty so the reader can identify which fields drive any apparent outliers. The annual hospital and the interpolated annual physician sensitivity analyses were also null (p=0.99 and p=0.39), confirming that size confounding and interpolation are sufficient to create spurious associations. The JOCS-CP indicator was directionally positive in the obstetric-hospital model (coefficient +0.024, raw p=0.013), but the association was not significant after the small-cluster correction and Holm adjustment for the exploratory sensitivity family (Holm p=0.119); we therefore treat it as exploratory and do not interpret it as a causal policy effect.</w:t>
      </w:r>
    </w:p>
    <w:p>
      <w:pPr>
        <w:spacing w:before="280" w:after="120"/>
      </w:pPr>
      <w:r>
        <w:rPr>
          <w:rFonts w:ascii="Times New Roman" w:hAnsi="Times New Roman"/>
          <w:b/>
          <w:sz w:val="20"/>
        </w:rPr>
        <w:t>Figure 2. Biennial physician growth against lagged litigation exposure measured as (a) counts and (b) rates. Points are coloured by specialty; the count panel shows the size confounding that the rate panel removes.</w:t>
      </w:r>
    </w:p>
    <w:p>
      <w:pPr>
        <w:jc w:val="center"/>
      </w:pPr>
      <w:r>
        <w:drawing>
          <wp:inline xmlns:a="http://schemas.openxmlformats.org/drawingml/2006/main" xmlns:pic="http://schemas.openxmlformats.org/drawingml/2006/picture">
            <wp:extent cx="5303520" cy="2410691"/>
            <wp:docPr id="2" name="Picture 2"/>
            <wp:cNvGraphicFramePr>
              <a:graphicFrameLocks noChangeAspect="1"/>
            </wp:cNvGraphicFramePr>
            <a:graphic>
              <a:graphicData uri="http://schemas.openxmlformats.org/drawingml/2006/picture">
                <pic:pic>
                  <pic:nvPicPr>
                    <pic:cNvPr id="0" name="ha_Figure_2.png"/>
                    <pic:cNvPicPr/>
                  </pic:nvPicPr>
                  <pic:blipFill>
                    <a:blip r:embed="rId10"/>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spacing w:line="480" w:lineRule="auto" w:after="120"/>
      </w:pPr>
      <w:r>
        <w:rPr>
          <w:rFonts w:ascii="Times New Roman" w:hAnsi="Times New Roman"/>
          <w:b w:val="0"/>
          <w:i w:val="0"/>
          <w:sz w:val="24"/>
        </w:rPr>
        <w:t>A reverse specification (change in litigation rate regressed on lagged log physicians) was also null (coefficient +0.097, p=0.85; Table 2), making a reverse-causation interpretation of the null unlikely.</w:t>
      </w:r>
    </w:p>
    <w:p>
      <w:pPr>
        <w:spacing w:line="480" w:lineRule="auto" w:after="120"/>
      </w:pPr>
      <w:r>
        <w:rPr>
          <w:rFonts w:ascii="Times New Roman" w:hAnsi="Times New Roman"/>
          <w:b w:val="0"/>
          <w:i w:val="0"/>
          <w:sz w:val="24"/>
        </w:rPr>
        <w:t>We also evaluated the JMSR medical accident investigation report counts as a potential confounder or competing exposure.</w:t>
      </w:r>
      <w:r>
        <w:rPr>
          <w:rFonts w:ascii="Times New Roman" w:hAnsi="Times New Roman"/>
          <w:sz w:val="22"/>
        </w:rPr>
        <w:t>[13]</w:t>
      </w:r>
      <w:r>
        <w:rPr>
          <w:rFonts w:ascii="Times New Roman" w:hAnsi="Times New Roman"/>
          <w:b w:val="0"/>
          <w:i w:val="0"/>
          <w:sz w:val="24"/>
        </w:rPr>
        <w:t xml:space="preserve"> Over 2015-2024, raw litigation and JMSR report counts were strongly correlated across specialties (Pearson r=0.82), because large specialties generate more of both; however, after removing specialty-specific levels and trends the within-specialty correlation was negligible (r=-0.02). A model of annual hospital growth for 2016-2024 that included both the lagged litigation rate and the lagged JMSR report rate left the litigation coefficient essentially unchanged (coefficient +0.0021; p=0.28) and the JMSR term was not associated with hospital growth (p=0.66; Supplementary Table 3). Thus, the null litigation result is not explained by, nor masked by, broader medical accident reporting.</w:t>
      </w:r>
    </w:p>
    <w:p>
      <w:pPr>
        <w:spacing w:line="480" w:lineRule="auto" w:after="120"/>
      </w:pPr>
      <w:r>
        <w:rPr>
          <w:rFonts w:ascii="Times New Roman" w:hAnsi="Times New Roman"/>
          <w:b w:val="0"/>
          <w:i w:val="0"/>
          <w:sz w:val="24"/>
        </w:rPr>
        <w:t>Finally, we tested national newspaper coverage from Nikkei Telecom 21 as a potential confounder.</w:t>
      </w:r>
      <w:r>
        <w:rPr>
          <w:rFonts w:ascii="Times New Roman" w:hAnsi="Times New Roman"/>
          <w:sz w:val="22"/>
        </w:rPr>
        <w:t>[12]</w:t>
      </w:r>
      <w:r>
        <w:rPr>
          <w:rFonts w:ascii="Times New Roman" w:hAnsi="Times New Roman"/>
          <w:b w:val="0"/>
          <w:i w:val="0"/>
          <w:sz w:val="24"/>
        </w:rPr>
        <w:t xml:space="preserve"> Total annual article counts (keywords: 医療事故 + 医療過誤) and total litigation counts were correlated (Pearson r=0.81), consistent with the public salience of high-litigation years; however, within the annual hospital panel the lagged litigation rate and the media-count series were only weakly correlated. A model of annual hospital growth for 2009-2018 that included both the lagged litigation rate and the lagged article count (per 1,000 articles) left the litigation coefficient essentially unchanged and the media term was not associated with hospital growth (p=0.21; Supplementary Table 4). Media coverage therefore does not account for the null litigation effect either.</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These data therefore do not support the hypothesis that physicians systematically abandon high-litigation specialties over 16 years of official statistics.</w:t>
      </w:r>
    </w:p>
    <w:p>
      <w:pPr>
        <w:spacing w:line="480" w:lineRule="auto" w:after="120"/>
      </w:pPr>
      <w:r>
        <w:rPr>
          <w:rFonts w:ascii="Times New Roman" w:hAnsi="Times New Roman"/>
          <w:b w:val="0"/>
          <w:i w:val="0"/>
          <w:sz w:val="24"/>
        </w:rPr>
        <w:t>A null result is not merely a failure to detect an effect. The narrow confidence intervals and pre-specified equivalence margins allow us to say that, if litigation risk does influence specialty-level workforce growth, the magnitude is too small to matter for workforce planning. This is an important distinction for policy debates that treat malpractice pressure as a major driver of physician distribution.</w:t>
      </w:r>
    </w:p>
    <w:p>
      <w:pPr>
        <w:spacing w:line="480" w:lineRule="auto" w:after="120"/>
      </w:pPr>
      <w:r>
        <w:rPr>
          <w:rFonts w:ascii="Times New Roman" w:hAnsi="Times New Roman"/>
          <w:b w:val="0"/>
          <w:i w:val="0"/>
          <w:sz w:val="24"/>
        </w:rPr>
        <w:t>The raw-count sensitivity in our study did not recover a negative association, indicating that size confounding and interpolation are sufficient to produce spurious negative findings. This is a cautionary example for workforce research that pairs administrative count series, and it underscores why rate-based, measured-only designs are preferable when testing litigation-workforce hypotheses.</w:t>
      </w:r>
    </w:p>
    <w:p>
      <w:pPr>
        <w:spacing w:line="480" w:lineRule="auto" w:after="120"/>
      </w:pPr>
      <w:r>
        <w:rPr>
          <w:rFonts w:ascii="Times New Roman" w:hAnsi="Times New Roman"/>
          <w:b w:val="0"/>
          <w:i w:val="0"/>
          <w:sz w:val="24"/>
        </w:rPr>
        <w:t>International evidence on tort reform and physician supply is consistent with a small or context-specific effect. Matsa found that U.S. state damage caps increased the supply of frontier rural specialists by 10-12 percent, but did not affect physician supply for the average resident.</w:t>
      </w:r>
      <w:r>
        <w:rPr>
          <w:rFonts w:ascii="Times New Roman" w:hAnsi="Times New Roman"/>
          <w:sz w:val="22"/>
        </w:rPr>
        <w:t>[16]</w:t>
      </w:r>
      <w:r>
        <w:rPr>
          <w:rFonts w:ascii="Times New Roman" w:hAnsi="Times New Roman"/>
          <w:b w:val="0"/>
          <w:i w:val="0"/>
          <w:sz w:val="24"/>
        </w:rPr>
        <w:t xml:space="preserve"> Hyman and colleagues, examining the 2003 Texas reforms, found no measurable increase in physician supply for high-malpractice-risk specialties, primary care, or rural physicians.</w:t>
      </w:r>
      <w:r>
        <w:rPr>
          <w:rFonts w:ascii="Times New Roman" w:hAnsi="Times New Roman"/>
          <w:sz w:val="22"/>
        </w:rPr>
        <w:t>[17]</w:t>
      </w:r>
      <w:r>
        <w:rPr>
          <w:rFonts w:ascii="Times New Roman" w:hAnsi="Times New Roman"/>
          <w:b w:val="0"/>
          <w:i w:val="0"/>
          <w:sz w:val="24"/>
        </w:rPr>
        <w:t xml:space="preserve"> Frakes and co-workers showed that negligence-standard reforms could shift the composition of the physician workforce toward surgery in some regions, yet the effect was localized and modest.</w:t>
      </w:r>
      <w:r>
        <w:rPr>
          <w:rFonts w:ascii="Times New Roman" w:hAnsi="Times New Roman"/>
          <w:sz w:val="22"/>
        </w:rPr>
        <w:t>[18]</w:t>
      </w:r>
      <w:r>
        <w:rPr>
          <w:rFonts w:ascii="Times New Roman" w:hAnsi="Times New Roman"/>
          <w:b w:val="0"/>
          <w:i w:val="0"/>
          <w:sz w:val="24"/>
        </w:rPr>
        <w:t xml:space="preserve"> Against this backdrop, a null effect of civil litigation risk on Japanese specialty supply is not surprising, especially in a system with comparatively low litigation volume and predictable damages.</w:t>
      </w:r>
    </w:p>
    <w:p>
      <w:pPr>
        <w:spacing w:line="480" w:lineRule="auto" w:after="120"/>
      </w:pPr>
      <w:r>
        <w:rPr>
          <w:rFonts w:ascii="Times New Roman" w:hAnsi="Times New Roman"/>
          <w:b w:val="0"/>
          <w:i w:val="0"/>
          <w:sz w:val="24"/>
        </w:rPr>
        <w:t>Even when litigation risk does not change the number of physicians, it may alter clinical behaviour through defensive medicine. Kessler and McClellan showed that U.S. malpractice reforms reduced medical expenditures for elderly heart-disease patients without increasing mortality or complications, suggesting that defensive practice is one margin of adjustment to liability pressure.</w:t>
      </w:r>
      <w:r>
        <w:rPr>
          <w:rFonts w:ascii="Times New Roman" w:hAnsi="Times New Roman"/>
          <w:sz w:val="22"/>
        </w:rPr>
        <w:t>[19]</w:t>
      </w:r>
      <w:r>
        <w:rPr>
          <w:rFonts w:ascii="Times New Roman" w:hAnsi="Times New Roman"/>
          <w:b w:val="0"/>
          <w:i w:val="0"/>
          <w:sz w:val="24"/>
        </w:rPr>
        <w:t xml:space="preserve"> Subsequent reassessments have debated the magnitude and robustness of this effect, but the conceptual point remains: physicians can respond to liability risk by changing how they practise rather than by exiting a specialty.</w:t>
      </w:r>
      <w:r>
        <w:rPr>
          <w:rFonts w:ascii="Times New Roman" w:hAnsi="Times New Roman"/>
          <w:sz w:val="22"/>
        </w:rPr>
        <w:t>[20]</w:t>
      </w:r>
      <w:r>
        <w:rPr>
          <w:rFonts w:ascii="Times New Roman" w:hAnsi="Times New Roman"/>
          <w:b w:val="0"/>
          <w:i w:val="0"/>
          <w:sz w:val="24"/>
        </w:rPr>
        <w:t xml:space="preserve"> In Japan, fee-for-service reimbursement rewards the high-acuity procedural work that also carries litigation exposure, so the financial return to remaining in surgery, obstetrics, or interventional specialties may dominate any deterrent from civil claims.</w:t>
      </w:r>
    </w:p>
    <w:p>
      <w:pPr>
        <w:spacing w:line="480" w:lineRule="auto" w:after="120"/>
      </w:pPr>
      <w:r>
        <w:rPr>
          <w:rFonts w:ascii="Times New Roman" w:hAnsi="Times New Roman"/>
          <w:b w:val="0"/>
          <w:i w:val="0"/>
          <w:sz w:val="24"/>
        </w:rPr>
        <w:t>Japan's litigation environment itself dampens the likelihood of a flight-from-risk response. Taniguchi and colleagues analysed all closed malpractice claims reported by the Supreme Court from 2006 to 2021 and found that more than half ended in settlement, plaintiffs won only about a quarter of judgments, and the number of claims has been declining, especially in obstetrics and gynaecology.</w:t>
      </w:r>
      <w:r>
        <w:rPr>
          <w:rFonts w:ascii="Times New Roman" w:hAnsi="Times New Roman"/>
          <w:sz w:val="22"/>
        </w:rPr>
        <w:t>[21]</w:t>
      </w:r>
      <w:r>
        <w:rPr>
          <w:rFonts w:ascii="Times New Roman" w:hAnsi="Times New Roman"/>
          <w:b w:val="0"/>
          <w:i w:val="0"/>
          <w:sz w:val="24"/>
        </w:rPr>
        <w:t xml:space="preserve"> The Court data we use therefore describe a civil system that is low-volume, settlement-prone, and comparatively favourable to physicians. This context makes it unlikely that routine civil litigation risk alone would drive physicians out of high-risk fields.</w:t>
      </w:r>
    </w:p>
    <w:p>
      <w:pPr>
        <w:spacing w:line="480" w:lineRule="auto" w:after="120"/>
      </w:pPr>
      <w:r>
        <w:rPr>
          <w:rFonts w:ascii="Times New Roman" w:hAnsi="Times New Roman"/>
          <w:b w:val="0"/>
          <w:i w:val="0"/>
          <w:sz w:val="24"/>
        </w:rPr>
        <w:t>The Japan Obstetric Compensation System for Cerebral Palsy (2009) illustrates a different mechanism. It was introduced partly because of a shortage of young obstetricians and regional gaps in maternity care, and it combined no-fault compensation with investigation and prevention.</w:t>
      </w:r>
      <w:r>
        <w:rPr>
          <w:rFonts w:ascii="Times New Roman" w:hAnsi="Times New Roman"/>
          <w:sz w:val="22"/>
        </w:rPr>
        <w:t>[22]</w:t>
      </w:r>
      <w:r>
        <w:rPr>
          <w:rFonts w:ascii="Times New Roman" w:hAnsi="Times New Roman"/>
          <w:b w:val="0"/>
          <w:i w:val="0"/>
          <w:sz w:val="24"/>
        </w:rPr>
        <w:t xml:space="preserve"> The hospital-level JOCS-CP indicator was directionally positive (coefficient +0.024, raw p=0.013), but it did not remain significant after the small-cluster correction and Holm adjustment for the exploratory sensitivity family (Holm p=0.119). This suggests that, if the JOCS-CP did support obstetric hospital supply, the effect is too small or too confounded by concurrent obstetric policies to be isolated here. Civil litigation exposure is also distinct from criminal prosecution. Morita exploited the 2004 Fukushima obstetrician prosecution and found a 13 percent decline in obstetricians, with some switching to gynaecology.</w:t>
      </w:r>
      <w:r>
        <w:rPr>
          <w:rFonts w:ascii="Times New Roman" w:hAnsi="Times New Roman"/>
          <w:sz w:val="22"/>
        </w:rPr>
        <w:t>[23]</w:t>
      </w:r>
      <w:r>
        <w:rPr>
          <w:rFonts w:ascii="Times New Roman" w:hAnsi="Times New Roman"/>
          <w:b w:val="0"/>
          <w:i w:val="0"/>
          <w:sz w:val="24"/>
        </w:rPr>
        <w:t xml:space="preserve"> Criminal cases and their media coverage may be far more salient to career decisions than routine closed civil claims, and our data do not capture that channel.</w:t>
      </w:r>
    </w:p>
    <w:p>
      <w:pPr>
        <w:spacing w:line="480" w:lineRule="auto" w:after="120"/>
      </w:pPr>
      <w:r>
        <w:rPr>
          <w:rFonts w:ascii="Times New Roman" w:hAnsi="Times New Roman"/>
          <w:b w:val="0"/>
          <w:i w:val="0"/>
          <w:sz w:val="24"/>
        </w:rPr>
        <w:t>The obstetrics and gynaecology case is the most discussed example of the litigation-workforce nexus, and it is consistent with our interpretation. A recent comparison of Japanese and U.S. medical-legal claims in OB/GYN found that the proportion of malpractice claims in this specialty fell from 15.1 percent in 2004 to 5.2 percent in 2022, and that claims per 100 OB/GYN physicians fell from 0.9 in 2007 to 0.4 in 2016, while maternal and neonatal mortality also declined.</w:t>
      </w:r>
      <w:r>
        <w:rPr>
          <w:rFonts w:ascii="Times New Roman" w:hAnsi="Times New Roman"/>
          <w:sz w:val="22"/>
        </w:rPr>
        <w:t>[24]</w:t>
      </w:r>
      <w:r>
        <w:rPr>
          <w:rFonts w:ascii="Times New Roman" w:hAnsi="Times New Roman"/>
          <w:b w:val="0"/>
          <w:i w:val="0"/>
          <w:sz w:val="24"/>
        </w:rPr>
        <w:t xml:space="preserve"> The authors attribute this to heightened awareness after a wrongful criminal charge, the JOCS-CP no-fault scheme, standardised clinical guidelines, and the adverse-event investigation system. This is not evidence that lowering litigation risk caused the workforce to grow; it is evidence that obstetric litigation, workforce support, and safety interventions moved together. Surveys of OB/GYN residents in Japan, Korea, and Taiwan likewise show that litigation is reported as a negative factor, but that its perceived importance is smaller where no-fault compensation exists and that workload, lifestyle, and professional interest remain dominant.</w:t>
      </w:r>
      <w:r>
        <w:rPr>
          <w:rFonts w:ascii="Times New Roman" w:hAnsi="Times New Roman"/>
          <w:sz w:val="22"/>
        </w:rPr>
        <w:t>[25]</w:t>
      </w:r>
      <w:r>
        <w:rPr>
          <w:rFonts w:ascii="Times New Roman" w:hAnsi="Times New Roman"/>
          <w:b w:val="0"/>
          <w:i w:val="0"/>
          <w:sz w:val="24"/>
        </w:rPr>
        <w:t xml:space="preserve"> These findings echo our specialty-level result: litigation may matter for perceptions, but it is not the binding constraint on supply.</w:t>
      </w:r>
    </w:p>
    <w:p>
      <w:pPr>
        <w:spacing w:line="480" w:lineRule="auto" w:after="120"/>
      </w:pPr>
      <w:r>
        <w:rPr>
          <w:rFonts w:ascii="Times New Roman" w:hAnsi="Times New Roman"/>
          <w:b w:val="0"/>
          <w:i w:val="0"/>
          <w:sz w:val="24"/>
        </w:rPr>
        <w:t>What do these findings imply for policy? Reducing civil malpractice litigation is unlikely to be a powerful lever for correcting specialty maldistribution in Japan. Structural incentives are more promising: no-fault compensation can de-risk high-acuity specialties, and payment design can reward service in underserved settings and activities. The JOCS-CP experience supports the former; Japan's fee-for-service schedule and rural/urban payment adjustments illustrate the latter. This is not to say that malpractice reform is irrelevant: it may influence defensive medicine, patient compensation, and provider-patient trust. But our evidence does not support the claim, at least from these data, that lowering litigation risk will retain physicians in high-risk specialties. Policymakers should therefore target structural incentives before relying on litigation-avoidance messaging.</w:t>
      </w:r>
    </w:p>
    <w:p>
      <w:pPr>
        <w:spacing w:line="480" w:lineRule="auto" w:after="120"/>
      </w:pPr>
      <w:r>
        <w:rPr>
          <w:rFonts w:ascii="Times New Roman" w:hAnsi="Times New Roman"/>
          <w:b w:val="0"/>
          <w:i w:val="0"/>
          <w:sz w:val="24"/>
        </w:rPr>
        <w:t>International experience with no-fault compensation is consistent with this policy orientation. New Zealand replaced tort-based medical-injury compensation with a government-funded no-fault scheme in 1974 and, after 2005 reforms, extended coverage to all treatment injuries; this separated compensation from negligence findings and largely barred malpractice litigation.</w:t>
      </w:r>
      <w:r>
        <w:rPr>
          <w:rFonts w:ascii="Times New Roman" w:hAnsi="Times New Roman"/>
          <w:sz w:val="22"/>
        </w:rPr>
        <w:t>[26]</w:t>
      </w:r>
      <w:r>
        <w:rPr>
          <w:rFonts w:ascii="Times New Roman" w:hAnsi="Times New Roman"/>
          <w:b w:val="0"/>
          <w:i w:val="0"/>
          <w:sz w:val="24"/>
        </w:rPr>
        <w:t xml:space="preserve"> Sweden and Denmark operate similar administrative systems in which neutral experts evaluate claims without requiring proof of provider fault, improving injured patients' access to redress while controlling liability costs and generating patient-safety learning.</w:t>
      </w:r>
      <w:r>
        <w:rPr>
          <w:rFonts w:ascii="Times New Roman" w:hAnsi="Times New Roman"/>
          <w:sz w:val="22"/>
        </w:rPr>
        <w:t>[27]</w:t>
      </w:r>
      <w:r>
        <w:rPr>
          <w:rFonts w:ascii="Times New Roman" w:hAnsi="Times New Roman"/>
          <w:b w:val="0"/>
          <w:i w:val="0"/>
          <w:sz w:val="24"/>
        </w:rPr>
        <w:t xml:space="preserve"> The JOCS-CP is narrower in scope—it covers only obstetric cerebral palsy—but it moves in the same direction: it provides compensation and cause analysis without a protracted adversarial process. Extending such an approach more broadly would be a structural alternative to repeated calls to reduce malpractice litigation as a workforce strategy.</w:t>
      </w:r>
    </w:p>
    <w:p>
      <w:pPr>
        <w:spacing w:line="480" w:lineRule="auto" w:after="120"/>
      </w:pPr>
      <w:r>
        <w:rPr>
          <w:rFonts w:ascii="Times New Roman" w:hAnsi="Times New Roman"/>
          <w:b w:val="0"/>
          <w:i w:val="0"/>
          <w:sz w:val="24"/>
        </w:rPr>
        <w:t>Several questions remain for future research. We cannot observe individual physicians' risk perceptions, career intentions, or responses to media coverage of high-profile cases. The closed-claim rate is an objective exposure measure, but it may not capture the perceived risk that drives specialty choice, especially when criminal prosecutions or sensational media coverage shape beliefs. Helland and Seabury's review concludes that tort reform effects on physician supply are heterogeneous across states and specialties, and that more granular, state-specific designs are needed to settle the question in the U.S. context.</w:t>
      </w:r>
      <w:r>
        <w:rPr>
          <w:rFonts w:ascii="Times New Roman" w:hAnsi="Times New Roman"/>
          <w:sz w:val="22"/>
        </w:rPr>
        <w:t>[28]</w:t>
      </w:r>
      <w:r>
        <w:rPr>
          <w:rFonts w:ascii="Times New Roman" w:hAnsi="Times New Roman"/>
          <w:b w:val="0"/>
          <w:i w:val="0"/>
          <w:sz w:val="24"/>
        </w:rPr>
        <w:t xml:space="preserve"> Applying similar logic in Japan would require individual-level or prefecture-level career data linked to local litigation, media, and reimbursement environments. Until then, the present specialty-level rate analysis provides the most systematic evidence available on the central policy question: whether malpractice litigation risk drives physicians away from high-risk specialties. The answer is that it does not, at least not in a way that is detectable or policy-relevant in 16 years of national data.</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9 measured waves; we addressed the limited power directly through equivalence testing and by pooling across specialties, but residual power constraints remain and the equivalence margins are a judgement. Specialty-specific litigation counts could be recovered only from 2008; pre-2008 specialty tables were not retrievable from primary sources. Clinic counts by specialty are published only every 3 years and were used descriptively. JMSR report counts are available only from 2015 and were used in a 2016-2024 sensitivity. Media article counts are available only for 2009-2018 and are a national total, so they cannot be decomposed by specialty and are collinear with full wave fixed effects. Litigation counts are assigned to a principal specialty and, by the Court's own note, do not measure intrinsic specialty risk.</w:t>
      </w:r>
      <w:r>
        <w:rPr>
          <w:rFonts w:ascii="Times New Roman" w:hAnsi="Times New Roman"/>
          <w:sz w:val="22"/>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in these data, and the physician effect was statistically equivalent to null within a small margin. Policies to counter specialty maldistribution may more productively target structural incentives, especially no-fault compensation, rather than on the assumption that reducing litigation will retain physicians in high-risk specialties.</w:t>
      </w:r>
    </w:p>
    <w:p>
      <w:pPr>
        <w:pStyle w:val="Heading1"/>
      </w:pPr>
      <w:r>
        <w:rPr>
          <w:rFonts w:ascii="Times New Roman" w:hAnsi="Times New Roman"/>
          <w:color w:val="000000"/>
        </w:rPr>
        <w:t>Declaration of generative AI use</w:t>
      </w:r>
    </w:p>
    <w:p>
      <w:pPr>
        <w:spacing w:line="480" w:lineRule="auto" w:after="120"/>
      </w:pPr>
      <w:r>
        <w:rPr>
          <w:rFonts w:ascii="Times New Roman" w:hAnsi="Times New Roman"/>
          <w:b w:val="0"/>
          <w:i w:val="0"/>
          <w:sz w:val="24"/>
        </w:rPr>
        <w:t>[Authors: insert the Elsevier AI declaration here before submission. Example wording: During the preparation of this work the author(s) used [TOOL NAME] in order to [PURPOSE]. After using this tool/service, the author(s) reviewed and edited the content as needed and take(s) full responsibility for the content of the publication. If no generative AI was used, state so.]</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Ethics approval: this study used publicly available aggregated national statistics and did not involve human subjects, identifiable data or patient records; no ethics approval was required. Data and code availability: all primary data files, extraction scripts and analysis code are openly available in the project repository (https://github.com/bougtoir/medical-accident-its-analysis),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Japan Council for Quality Health Care;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 2024. Available from: https://www.mhlw.go.jp/english/database/db-hw/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 2024.</w:t>
      </w:r>
    </w:p>
    <w:p>
      <w:pPr>
        <w:spacing w:line="360" w:lineRule="auto"/>
      </w:pPr>
      <w:r>
        <w:rPr>
          <w:rFonts w:ascii="Times New Roman" w:hAnsi="Times New Roman"/>
          <w:sz w:val="20"/>
        </w:rPr>
        <w:t>10. Ministry of Health, Labour and Welfare. Survey of Medical Institutions (Dynamic). Tokyo: MHLW; 2024. Available from: https://www.mhlw.go.jp/english/database/db-hw/</w:t>
      </w:r>
    </w:p>
    <w:p>
      <w:pPr>
        <w:spacing w:line="360" w:lineRule="auto"/>
      </w:pPr>
      <w:r>
        <w:rPr>
          <w:rFonts w:ascii="Times New Roman" w:hAnsi="Times New Roman"/>
          <w:sz w:val="20"/>
        </w:rPr>
        <w:t>11. Japan Medical Safety Research Organisation. Annual reports of medical accident investigations (2015-2024). Tokyo: JMSR; 2025.</w:t>
      </w:r>
    </w:p>
    <w:p>
      <w:pPr>
        <w:spacing w:line="360" w:lineRule="auto"/>
      </w:pPr>
      <w:r>
        <w:rPr>
          <w:rFonts w:ascii="Times New Roman" w:hAnsi="Times New Roman"/>
          <w:sz w:val="20"/>
        </w:rPr>
        <w:t>12. Nikkei Inc. Nikkei Telecom 21. Tokyo: Nikkei Inc. Accessed 2024. Available from: https://telecom21.nikkei.co.jp/.</w:t>
      </w:r>
    </w:p>
    <w:p>
      <w:pPr>
        <w:spacing w:line="360" w:lineRule="auto"/>
      </w:pPr>
      <w:r>
        <w:rPr>
          <w:rFonts w:ascii="Times New Roman" w:hAnsi="Times New Roman"/>
          <w:sz w:val="20"/>
        </w:rPr>
        <w:t>13. Act on the Promotion of Medical Safety; Medical Accident Investigation System (2015). Tokyo: MHLW; 2015.</w:t>
      </w:r>
    </w:p>
    <w:p>
      <w:pPr>
        <w:spacing w:line="360" w:lineRule="auto"/>
      </w:pPr>
      <w:r>
        <w:rPr>
          <w:rFonts w:ascii="Times New Roman" w:hAnsi="Times New Roman"/>
          <w:sz w:val="20"/>
        </w:rPr>
        <w:t>14. Angrist JD, Pischke JS. Mostly Harmless Econometrics. Princeton: Princeton University Press; 2009.</w:t>
      </w:r>
    </w:p>
    <w:p>
      <w:pPr>
        <w:spacing w:line="360" w:lineRule="auto"/>
      </w:pPr>
      <w:r>
        <w:rPr>
          <w:rFonts w:ascii="Times New Roman" w:hAnsi="Times New Roman"/>
          <w:sz w:val="20"/>
        </w:rPr>
        <w:t>15. Cameron AC, Miller DL. A practitioner's guide to cluster-robust inference. J Hum Resour. 2015;50(2):317-372.</w:t>
      </w:r>
    </w:p>
    <w:p>
      <w:pPr>
        <w:spacing w:line="360" w:lineRule="auto"/>
      </w:pPr>
      <w:r>
        <w:rPr>
          <w:rFonts w:ascii="Times New Roman" w:hAnsi="Times New Roman"/>
          <w:sz w:val="20"/>
        </w:rPr>
        <w:t>16. Matsa DA. Does malpractice liability keep the doctor away? Evidence from tort reform damage caps. J Legal Stud. 2007;36(S2):S143-S182.</w:t>
      </w:r>
    </w:p>
    <w:p>
      <w:pPr>
        <w:spacing w:line="360" w:lineRule="auto"/>
      </w:pPr>
      <w:r>
        <w:rPr>
          <w:rFonts w:ascii="Times New Roman" w:hAnsi="Times New Roman"/>
          <w:sz w:val="20"/>
        </w:rPr>
        <w:t>17. Hyman DA, Silver C, Black B, Paik M. Does tort reform affect physician supply? Evidence from Texas. Int Rev Law Econ. 2015;42:203-218.</w:t>
      </w:r>
    </w:p>
    <w:p>
      <w:pPr>
        <w:spacing w:line="360" w:lineRule="auto"/>
      </w:pPr>
      <w:r>
        <w:rPr>
          <w:rFonts w:ascii="Times New Roman" w:hAnsi="Times New Roman"/>
          <w:sz w:val="20"/>
        </w:rPr>
        <w:t>18. Frakes MD, Frank MB, Seabury SA. The effect of malpractice law on physician supply: Evidence from negligence-standard reforms. J Health Econ. 2020;70:1-16.</w:t>
      </w:r>
    </w:p>
    <w:p>
      <w:pPr>
        <w:spacing w:line="360" w:lineRule="auto"/>
      </w:pPr>
      <w:r>
        <w:rPr>
          <w:rFonts w:ascii="Times New Roman" w:hAnsi="Times New Roman"/>
          <w:sz w:val="20"/>
        </w:rPr>
        <w:t>19. Kessler DP, McClellan MB. Do doctors practice defensive medicine?. Q J Econ. 1996;111(2):353-390.</w:t>
      </w:r>
    </w:p>
    <w:p>
      <w:pPr>
        <w:spacing w:line="360" w:lineRule="auto"/>
      </w:pPr>
      <w:r>
        <w:rPr>
          <w:rFonts w:ascii="Times New Roman" w:hAnsi="Times New Roman"/>
          <w:sz w:val="20"/>
        </w:rPr>
        <w:t>20. Sloan FA, Shadle JH. Is there empirical evidence for "Defensive Medicine"? A reassessment. J Health Econ. 2008;27(2):481-491.</w:t>
      </w:r>
    </w:p>
    <w:p>
      <w:pPr>
        <w:spacing w:line="360" w:lineRule="auto"/>
      </w:pPr>
      <w:r>
        <w:rPr>
          <w:rFonts w:ascii="Times New Roman" w:hAnsi="Times New Roman"/>
          <w:sz w:val="20"/>
        </w:rPr>
        <w:t>21. Taniguchi K, Watari T, Nagoshi K. Characteristics and trends of medical malpractice claims in Japan between 2006 and 2021. PLoS One. 2023;18(12):e0296155.</w:t>
      </w:r>
    </w:p>
    <w:p>
      <w:pPr>
        <w:spacing w:line="360" w:lineRule="auto"/>
      </w:pPr>
      <w:r>
        <w:rPr>
          <w:rFonts w:ascii="Times New Roman" w:hAnsi="Times New Roman"/>
          <w:sz w:val="20"/>
        </w:rPr>
        <w:t>22. Hasegawa J, Toyokawa S, Ikenoue T, et al. Relevant obstetric factors for cerebral palsy: from the Nationwide Obstetric Compensation System in Japan. PLoS One. 2016;11(1):e0148122.</w:t>
      </w:r>
    </w:p>
    <w:p>
      <w:pPr>
        <w:spacing w:line="360" w:lineRule="auto"/>
      </w:pPr>
      <w:r>
        <w:rPr>
          <w:rFonts w:ascii="Times New Roman" w:hAnsi="Times New Roman"/>
          <w:sz w:val="20"/>
        </w:rPr>
        <w:t>23. Morita H. Criminal prosecution and physician supply. Int Rev Law Econ. 2018;55:1-11.</w:t>
      </w:r>
    </w:p>
    <w:p>
      <w:pPr>
        <w:spacing w:line="360" w:lineRule="auto"/>
      </w:pPr>
      <w:r>
        <w:rPr>
          <w:rFonts w:ascii="Times New Roman" w:hAnsi="Times New Roman"/>
          <w:sz w:val="20"/>
        </w:rPr>
        <w:t>24. Kamijo K, Wada Y, Ishida K, Warsof SL, Saade G, Kawakita T. Medical-legal claims in obstetrics and gynecology: Japan versus the United States. J Healthc Risk Manag. 2025;44(4):5-11. doi:10.1002/jhrm.70001.</w:t>
      </w:r>
    </w:p>
    <w:p>
      <w:pPr>
        <w:spacing w:line="360" w:lineRule="auto"/>
      </w:pPr>
      <w:r>
        <w:rPr>
          <w:rFonts w:ascii="Times New Roman" w:hAnsi="Times New Roman"/>
          <w:sz w:val="20"/>
        </w:rPr>
        <w:t>25. Lin PL, Huang JP, Fujii T, Cho EH, Huang MC. A survey of specialty choice among obstetrics and gynecology residents in Japan, Korea, and Taiwan. J Obstet Gynaecol Res. 2022;48(7):1968-1977.</w:t>
      </w:r>
    </w:p>
    <w:p>
      <w:pPr>
        <w:spacing w:line="360" w:lineRule="auto"/>
      </w:pPr>
      <w:r>
        <w:rPr>
          <w:rFonts w:ascii="Times New Roman" w:hAnsi="Times New Roman"/>
          <w:sz w:val="20"/>
        </w:rPr>
        <w:t>26. Bismark M, Paterson R. No-fault compensation in New Zealand: harmonizing injury compensation, provider accountability, and patient safety. Health Aff. 2006;25(1):278-286.</w:t>
      </w:r>
    </w:p>
    <w:p>
      <w:pPr>
        <w:spacing w:line="360" w:lineRule="auto"/>
      </w:pPr>
      <w:r>
        <w:rPr>
          <w:rFonts w:ascii="Times New Roman" w:hAnsi="Times New Roman"/>
          <w:sz w:val="20"/>
        </w:rPr>
        <w:t>27. Mello MM, Kachalia A, Studdert DM. Administrative compensation for medical injuries: lessons from three foreign systems. New York: The Commonwealth Fund; 2011.</w:t>
      </w:r>
    </w:p>
    <w:p>
      <w:pPr>
        <w:spacing w:line="360" w:lineRule="auto"/>
      </w:pPr>
      <w:r>
        <w:rPr>
          <w:rFonts w:ascii="Times New Roman" w:hAnsi="Times New Roman"/>
          <w:sz w:val="20"/>
        </w:rPr>
        <w:t>28. Helland E, Seabury SA. Tort reform and physician labor supply: a review of the evidence. Int Rev Law Econ. 2015;42:192-202.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