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医療費は経済効果である</w:t>
        <w:br/>
        <w:t>— 産業連関乗数と健康資本テンポ効果に基づくニュートラルな持続可能性フレームワーク</w:t>
      </w:r>
    </w:p>
    <w:p>
      <w:pPr>
        <w:pStyle w:val="Heading1"/>
      </w:pPr>
      <w:r>
        <w:t>要旨</w:t>
      </w:r>
    </w:p>
    <w:p>
      <w:r>
        <w:t>医療費は従来、財政上の「コスト」として抑制すべき対象と位置づけられてきた。しかし産業連関（I-O）分析によれば、医療支出1単位あたり日本では2.78倍の経済波及効果が生じ</w:t>
      </w:r>
      <w:r>
        <w:rPr>
          <w:sz w:val="16"/>
          <w:vertAlign w:val="superscript"/>
        </w:rPr>
        <w:t>1</w:t>
      </w:r>
      <w:r>
        <w:t>、OECD諸国でも1.7〜2.9倍の乗数効果が報告されている</w:t>
      </w:r>
      <w:r>
        <w:rPr>
          <w:sz w:val="16"/>
          <w:vertAlign w:val="superscript"/>
        </w:rPr>
        <w:t>1,3,13</w:t>
      </w:r>
      <w:r>
        <w:t>。さらにHealth-Led Growth Hypothesis (HLGH) の実証研究は、医療支出とGDP成長の間に双方向の因果関係（bidirectional Granger causality）が存在することを示している</w:t>
      </w:r>
      <w:r>
        <w:rPr>
          <w:sz w:val="16"/>
          <w:vertAlign w:val="superscript"/>
        </w:rPr>
        <w:t>4-7</w:t>
      </w:r>
      <w:r>
        <w:t>。本稿では、(1) I-O乗数による需要側リターン、(2) 健康資本ストックのテンポ効果による供給側リターンを統合した「ニュートラルな持続可能性基準」を提案し、9か国のデータを用いてその適用可能性を検証する。分析の結果、9か国中3か国（日本・フランス・スウェーデン）で需要側のみの財政回収率（fiscal return ratio = τ·m / pf）が1.0を上回り、残りの国も0.76〜0.96と1.0に近接していた。供給側の健康資本蓄積リターンを加味すれば、大半の国で総合的な持続可能性が成立する可能性が高い。医療費を「コスト」から「経済効果を伴う投資」へ再定義することで、持続可能性の議論はより生産的な方向に転換しうる。</w:t>
      </w:r>
    </w:p>
    <w:p>
      <w:pPr>
        <w:pStyle w:val="Heading1"/>
      </w:pPr>
      <w:r>
        <w:t>1. はじめに</w:t>
      </w:r>
    </w:p>
    <w:p>
      <w:r>
        <w:t>日本政府は2005年の「骨太の方針」以来、国民医療費の伸びの抑制を政策目標としてきた</w:t>
      </w:r>
      <w:r>
        <w:rPr>
          <w:sz w:val="16"/>
          <w:vertAlign w:val="superscript"/>
        </w:rPr>
        <w:t>1</w:t>
      </w:r>
      <w:r>
        <w:t>。2019年の日本の対GDP保健医療支出は11.0%でOECD38か国中第5位であり</w:t>
      </w:r>
      <w:r>
        <w:rPr>
          <w:sz w:val="16"/>
          <w:vertAlign w:val="superscript"/>
        </w:rPr>
        <w:t>10</w:t>
      </w:r>
      <w:r>
        <w:t>、高齢化の進行とともに医療費の「持続可能性」は中心的な政策課題となっている</w:t>
      </w:r>
      <w:r>
        <w:rPr>
          <w:sz w:val="16"/>
          <w:vertAlign w:val="superscript"/>
        </w:rPr>
        <w:t>11</w:t>
      </w:r>
      <w:r>
        <w:t>。</w:t>
      </w:r>
    </w:p>
    <w:p>
      <w:r>
        <w:t>しかし、この議論はほぼ一貫して医療費を「コスト」として扱い、抑制・効率化の対象としてのみ位置づけてきた。一方で、医療は産業としてサプライチェーン全体に経済波及効果を及ぼし、雇用を創出し、税収を生み出す。前田（2008）は日本の医療が周辺産業を含めて689万人の雇用を支え、生産波及効果はサービス業中最大であると報告した</w:t>
      </w:r>
      <w:r>
        <w:rPr>
          <w:sz w:val="16"/>
          <w:vertAlign w:val="superscript"/>
        </w:rPr>
        <w:t>2</w:t>
      </w:r>
      <w:r>
        <w:t>。Yamada &amp; Imanaka（2015）はI-O分析により、医療の経済波及乗数が2.78倍（95% CI: 2.74–2.90）であることを示した</w:t>
      </w:r>
      <w:r>
        <w:rPr>
          <w:sz w:val="16"/>
          <w:vertAlign w:val="superscript"/>
        </w:rPr>
        <w:t>1</w:t>
      </w:r>
      <w:r>
        <w:t>。</w:t>
      </w:r>
    </w:p>
    <w:p>
      <w:r>
        <w:t>本稿の目的は、医療費を「コストでもあり経済効果でもある」というニュートラルな立場から再評価し、持続可能性を需要側（I-O乗数）と供給側（健康資本ストック）の二重リターンの観点から定式化することである。</w:t>
      </w:r>
    </w:p>
    <w:p>
      <w:pPr>
        <w:pStyle w:val="Heading1"/>
      </w:pPr>
      <w:r>
        <w:t>2. 背景：医療費の二面性</w:t>
      </w:r>
    </w:p>
    <w:p>
      <w:pPr>
        <w:pStyle w:val="Heading2"/>
      </w:pPr>
      <w:r>
        <w:t>2.1 需要側：産業連関乗数</w:t>
      </w:r>
    </w:p>
    <w:p>
      <w:r>
        <w:t>産業連関分析（Input-Output analysis）はLeontief（1936）に端を発する手法で、ある産業への最終需要が直接効果・間接効果・誘発効果を通じて経済全体にどれだけの生産を誘発するかを定量化する。医療セクターについて、各国の推計値を図1および表1に示す。</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1_io_multipliers.png"/>
                    <pic:cNvPicPr/>
                  </pic:nvPicPr>
                  <pic:blipFill>
                    <a:blip r:embed="rId9"/>
                    <a:stretch>
                      <a:fillRect/>
                    </a:stretch>
                  </pic:blipFill>
                  <pic:spPr>
                    <a:xfrm>
                      <a:off x="0" y="0"/>
                      <a:ext cx="5029200" cy="3143250"/>
                    </a:xfrm>
                    <a:prstGeom prst="rect"/>
                  </pic:spPr>
                </pic:pic>
              </a:graphicData>
            </a:graphic>
          </wp:inline>
        </w:drawing>
      </w:r>
    </w:p>
    <w:p>
      <w:pPr>
        <w:spacing w:before="120" w:after="240"/>
        <w:jc w:val="center"/>
      </w:pPr>
      <w:r>
        <w:rPr>
          <w:i/>
          <w:sz w:val="18"/>
        </w:rPr>
        <w:t>図1. 各国の医療セクターI-O乗数の比較</w:t>
      </w:r>
    </w:p>
    <w:p>
      <w:pPr>
        <w:spacing w:after="80"/>
      </w:pPr>
      <w:r>
        <w:rPr>
          <w:i/>
          <w:sz w:val="18"/>
        </w:rPr>
        <w:t>表1. 医療セクターの産業連関乗数（各国比較）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国</w:t>
            </w:r>
          </w:p>
        </w:tc>
        <w:tc>
          <w:tcPr>
            <w:tcW w:type="dxa" w:w="2160"/>
          </w:tcPr>
          <w:p>
            <w:r>
              <w:rPr>
                <w:b/>
                <w:sz w:val="18"/>
              </w:rPr>
              <w:t>乗数</w:t>
            </w:r>
          </w:p>
        </w:tc>
        <w:tc>
          <w:tcPr>
            <w:tcW w:type="dxa" w:w="2160"/>
          </w:tcPr>
          <w:p>
            <w:r>
              <w:rPr>
                <w:b/>
                <w:sz w:val="18"/>
              </w:rPr>
              <w:t>基準年</w:t>
            </w:r>
          </w:p>
        </w:tc>
        <w:tc>
          <w:tcPr>
            <w:tcW w:type="dxa" w:w="2160"/>
          </w:tcPr>
          <w:p>
            <w:r>
              <w:rPr>
                <w:b/>
                <w:sz w:val="18"/>
              </w:rPr>
              <w:t>出典</w:t>
            </w:r>
          </w:p>
        </w:tc>
      </w:tr>
      <w:tr>
        <w:tc>
          <w:tcPr>
            <w:tcW w:type="dxa" w:w="2160"/>
          </w:tcPr>
          <w:p>
            <w:r>
              <w:rPr>
                <w:sz w:val="18"/>
              </w:rPr>
              <w:t>Japan</w:t>
            </w:r>
          </w:p>
        </w:tc>
        <w:tc>
          <w:tcPr>
            <w:tcW w:type="dxa" w:w="2160"/>
          </w:tcPr>
          <w:p>
            <w:r>
              <w:rPr>
                <w:sz w:val="18"/>
              </w:rPr>
              <w:t>2.78</w:t>
            </w:r>
          </w:p>
        </w:tc>
        <w:tc>
          <w:tcPr>
            <w:tcW w:type="dxa" w:w="2160"/>
          </w:tcPr>
          <w:p>
            <w:r>
              <w:rPr>
                <w:sz w:val="18"/>
              </w:rPr>
              <w:t>2011</w:t>
            </w:r>
          </w:p>
        </w:tc>
        <w:tc>
          <w:tcPr>
            <w:tcW w:type="dxa" w:w="2160"/>
          </w:tcPr>
          <w:p>
            <w:r>
              <w:rPr>
                <w:sz w:val="18"/>
              </w:rPr>
              <w:t>Yamada &amp; Imanaka 2015</w:t>
            </w:r>
          </w:p>
        </w:tc>
      </w:tr>
      <w:tr>
        <w:tc>
          <w:tcPr>
            <w:tcW w:type="dxa" w:w="2160"/>
          </w:tcPr>
          <w:p>
            <w:r>
              <w:rPr>
                <w:sz w:val="18"/>
              </w:rPr>
              <w:t>Japan (JMARI)</w:t>
            </w:r>
          </w:p>
        </w:tc>
        <w:tc>
          <w:tcPr>
            <w:tcW w:type="dxa" w:w="2160"/>
          </w:tcPr>
          <w:p>
            <w:r>
              <w:rPr>
                <w:sz w:val="18"/>
              </w:rPr>
              <w:t>2.85</w:t>
            </w:r>
          </w:p>
        </w:tc>
        <w:tc>
          <w:tcPr>
            <w:tcW w:type="dxa" w:w="2160"/>
          </w:tcPr>
          <w:p>
            <w:r>
              <w:rPr>
                <w:sz w:val="18"/>
              </w:rPr>
              <w:t>2006</w:t>
            </w:r>
          </w:p>
        </w:tc>
        <w:tc>
          <w:tcPr>
            <w:tcW w:type="dxa" w:w="2160"/>
          </w:tcPr>
          <w:p>
            <w:r>
              <w:rPr>
                <w:sz w:val="18"/>
              </w:rPr>
              <w:t>Maeda 2008 (JMARI WP172)</w:t>
            </w:r>
          </w:p>
        </w:tc>
      </w:tr>
      <w:tr>
        <w:tc>
          <w:tcPr>
            <w:tcW w:type="dxa" w:w="2160"/>
          </w:tcPr>
          <w:p>
            <w:r>
              <w:rPr>
                <w:sz w:val="18"/>
              </w:rPr>
              <w:t>United States (Medicare)</w:t>
            </w:r>
          </w:p>
        </w:tc>
        <w:tc>
          <w:tcPr>
            <w:tcW w:type="dxa" w:w="2160"/>
          </w:tcPr>
          <w:p>
            <w:r>
              <w:rPr>
                <w:sz w:val="18"/>
              </w:rPr>
              <w:t>1.7</w:t>
            </w:r>
          </w:p>
        </w:tc>
        <w:tc>
          <w:tcPr>
            <w:tcW w:type="dxa" w:w="2160"/>
          </w:tcPr>
          <w:p>
            <w:r>
              <w:rPr>
                <w:sz w:val="18"/>
              </w:rPr>
              <w:t>2017</w:t>
            </w:r>
          </w:p>
        </w:tc>
        <w:tc>
          <w:tcPr>
            <w:tcW w:type="dxa" w:w="2160"/>
          </w:tcPr>
          <w:p>
            <w:r>
              <w:rPr>
                <w:sz w:val="18"/>
              </w:rPr>
              <w:t>Dupor &amp; Guerrero 2017 (Fed StL)</w:t>
            </w:r>
          </w:p>
        </w:tc>
      </w:tr>
      <w:tr>
        <w:tc>
          <w:tcPr>
            <w:tcW w:type="dxa" w:w="2160"/>
          </w:tcPr>
          <w:p>
            <w:r>
              <w:rPr>
                <w:sz w:val="18"/>
              </w:rPr>
              <w:t>Canada</w:t>
            </w:r>
          </w:p>
        </w:tc>
        <w:tc>
          <w:tcPr>
            <w:tcW w:type="dxa" w:w="2160"/>
          </w:tcPr>
          <w:p>
            <w:r>
              <w:rPr>
                <w:sz w:val="18"/>
              </w:rPr>
              <w:t>1.82</w:t>
            </w:r>
          </w:p>
        </w:tc>
        <w:tc>
          <w:tcPr>
            <w:tcW w:type="dxa" w:w="2160"/>
          </w:tcPr>
          <w:p>
            <w:r>
              <w:rPr>
                <w:sz w:val="18"/>
              </w:rPr>
              <w:t>2009</w:t>
            </w:r>
          </w:p>
        </w:tc>
        <w:tc>
          <w:tcPr>
            <w:tcW w:type="dxa" w:w="2160"/>
          </w:tcPr>
          <w:p>
            <w:r>
              <w:rPr>
                <w:sz w:val="18"/>
              </w:rPr>
              <w:t>CIHI / Conference Board 2013</w:t>
            </w:r>
          </w:p>
        </w:tc>
      </w:tr>
      <w:tr>
        <w:tc>
          <w:tcPr>
            <w:tcW w:type="dxa" w:w="2160"/>
          </w:tcPr>
          <w:p>
            <w:r>
              <w:rPr>
                <w:sz w:val="18"/>
              </w:rPr>
              <w:t>United Kingdom</w:t>
            </w:r>
          </w:p>
        </w:tc>
        <w:tc>
          <w:tcPr>
            <w:tcW w:type="dxa" w:w="2160"/>
          </w:tcPr>
          <w:p>
            <w:r>
              <w:rPr>
                <w:sz w:val="18"/>
              </w:rPr>
              <w:t>1.9</w:t>
            </w:r>
          </w:p>
        </w:tc>
        <w:tc>
          <w:tcPr>
            <w:tcW w:type="dxa" w:w="2160"/>
          </w:tcPr>
          <w:p>
            <w:r>
              <w:rPr>
                <w:sz w:val="18"/>
              </w:rPr>
              <w:t>2016</w:t>
            </w:r>
          </w:p>
        </w:tc>
        <w:tc>
          <w:tcPr>
            <w:tcW w:type="dxa" w:w="2160"/>
          </w:tcPr>
          <w:p>
            <w:r>
              <w:rPr>
                <w:sz w:val="18"/>
              </w:rPr>
              <w:t>ONS Health SUT / King's Fund 2018</w:t>
            </w:r>
          </w:p>
        </w:tc>
      </w:tr>
      <w:tr>
        <w:tc>
          <w:tcPr>
            <w:tcW w:type="dxa" w:w="2160"/>
          </w:tcPr>
          <w:p>
            <w:r>
              <w:rPr>
                <w:sz w:val="18"/>
              </w:rPr>
              <w:t>Germany</w:t>
            </w:r>
          </w:p>
        </w:tc>
        <w:tc>
          <w:tcPr>
            <w:tcW w:type="dxa" w:w="2160"/>
          </w:tcPr>
          <w:p>
            <w:r>
              <w:rPr>
                <w:sz w:val="18"/>
              </w:rPr>
              <w:t>2.1</w:t>
            </w:r>
          </w:p>
        </w:tc>
        <w:tc>
          <w:tcPr>
            <w:tcW w:type="dxa" w:w="2160"/>
          </w:tcPr>
          <w:p>
            <w:r>
              <w:rPr>
                <w:sz w:val="18"/>
              </w:rPr>
              <w:t>2014</w:t>
            </w:r>
          </w:p>
        </w:tc>
        <w:tc>
          <w:tcPr>
            <w:tcW w:type="dxa" w:w="2160"/>
          </w:tcPr>
          <w:p>
            <w:r>
              <w:rPr>
                <w:sz w:val="18"/>
              </w:rPr>
              <w:t>Henke &amp; Ostwald 2012 (GGR estimate)</w:t>
            </w:r>
          </w:p>
        </w:tc>
      </w:tr>
      <w:tr>
        <w:tc>
          <w:tcPr>
            <w:tcW w:type="dxa" w:w="2160"/>
          </w:tcPr>
          <w:p>
            <w:r>
              <w:rPr>
                <w:sz w:val="18"/>
              </w:rPr>
              <w:t>Australia</w:t>
            </w:r>
          </w:p>
        </w:tc>
        <w:tc>
          <w:tcPr>
            <w:tcW w:type="dxa" w:w="2160"/>
          </w:tcPr>
          <w:p>
            <w:r>
              <w:rPr>
                <w:sz w:val="18"/>
              </w:rPr>
              <w:t>1.85</w:t>
            </w:r>
          </w:p>
        </w:tc>
        <w:tc>
          <w:tcPr>
            <w:tcW w:type="dxa" w:w="2160"/>
          </w:tcPr>
          <w:p>
            <w:r>
              <w:rPr>
                <w:sz w:val="18"/>
              </w:rPr>
              <w:t>2015</w:t>
            </w:r>
          </w:p>
        </w:tc>
        <w:tc>
          <w:tcPr>
            <w:tcW w:type="dxa" w:w="2160"/>
          </w:tcPr>
          <w:p>
            <w:r>
              <w:rPr>
                <w:sz w:val="18"/>
              </w:rPr>
              <w:t>AIHW / Deloitte Access Economics 2016</w:t>
            </w:r>
          </w:p>
        </w:tc>
      </w:tr>
      <w:tr>
        <w:tc>
          <w:tcPr>
            <w:tcW w:type="dxa" w:w="2160"/>
          </w:tcPr>
          <w:p>
            <w:r>
              <w:rPr>
                <w:sz w:val="18"/>
              </w:rPr>
              <w:t>OECD Average</w:t>
            </w:r>
          </w:p>
        </w:tc>
        <w:tc>
          <w:tcPr>
            <w:tcW w:type="dxa" w:w="2160"/>
          </w:tcPr>
          <w:p>
            <w:r>
              <w:rPr>
                <w:sz w:val="18"/>
              </w:rPr>
              <w:t>1.95</w:t>
            </w:r>
          </w:p>
        </w:tc>
        <w:tc>
          <w:tcPr>
            <w:tcW w:type="dxa" w:w="2160"/>
          </w:tcPr>
          <w:p>
            <w:r>
              <w:rPr>
                <w:sz w:val="18"/>
              </w:rPr>
              <w:t>2020</w:t>
            </w:r>
          </w:p>
        </w:tc>
        <w:tc>
          <w:tcPr>
            <w:tcW w:type="dxa" w:w="2160"/>
          </w:tcPr>
          <w:p>
            <w:r>
              <w:rPr>
                <w:sz w:val="18"/>
              </w:rPr>
              <w:t>Synthesis (this study)</w:t>
            </w:r>
          </w:p>
        </w:tc>
      </w:tr>
    </w:tbl>
    <w:p/>
    <w:p>
      <w:r>
        <w:t>日本の乗数2.78は比較対象国中最大であり、公共事業（2.1〜2.5）や電力・ガス（1.8〜2.0）と同等以上である</w:t>
      </w:r>
      <w:r>
        <w:rPr>
          <w:sz w:val="16"/>
          <w:vertAlign w:val="superscript"/>
        </w:rPr>
        <w:t>1,2</w:t>
      </w:r>
      <w:r>
        <w:t>。米国のMedicare乗数1.7</w:t>
      </w:r>
      <w:r>
        <w:rPr>
          <w:sz w:val="16"/>
          <w:vertAlign w:val="superscript"/>
        </w:rPr>
        <w:t>3</w:t>
      </w:r>
      <w:r>
        <w:t>が低いのは、高い薬価と管理コストが域外（海外製薬）に漏出するためと考えられる。</w:t>
      </w:r>
    </w:p>
    <w:p>
      <w:pPr>
        <w:pStyle w:val="Heading2"/>
      </w:pPr>
      <w:r>
        <w:t>2.2 供給側：健康資本と人的資本</w:t>
      </w:r>
    </w:p>
    <w:p>
      <w:r>
        <w:t>Mushkin（1962）以来、健康は人的資本の構成要素として認識されてきた</w:t>
      </w:r>
      <w:r>
        <w:rPr>
          <w:sz w:val="16"/>
          <w:vertAlign w:val="superscript"/>
        </w:rPr>
        <w:t>8</w:t>
      </w:r>
      <w:r>
        <w:t>。Grossman（1972）のヘルスキャピタルモデルでは、個人の健康ストックは投資（医療支出・予防行動）と減耗（加齢・疾病）の恒久棚卸法（PIM）で蓄積される</w:t>
      </w:r>
      <w:r>
        <w:rPr>
          <w:sz w:val="16"/>
          <w:vertAlign w:val="superscript"/>
        </w:rPr>
        <w:t>9</w:t>
      </w:r>
      <w:r>
        <w:t>。マクロレベルでは、Bloom, Canning &amp; Sevilla（2004）が 健康状態の改善がTFP（全要素生産性）を高めることを示し</w:t>
      </w:r>
      <w:r>
        <w:rPr>
          <w:sz w:val="16"/>
          <w:vertAlign w:val="superscript"/>
        </w:rPr>
        <w:t>16</w:t>
      </w:r>
      <w:r>
        <w:t>、Barro（2013）は平均寿命1年の延長がGDP成長率を約0.04 pp引き上げると推計した</w:t>
      </w:r>
      <w:r>
        <w:rPr>
          <w:sz w:val="16"/>
          <w:vertAlign w:val="superscript"/>
        </w:rPr>
        <w:t>15</w:t>
      </w:r>
      <w:r>
        <w:t>。</w:t>
      </w:r>
    </w:p>
    <w:p>
      <w:r>
        <w:t>重要なのは、健康資本の蓄積と経済アウトカムの間には時間ラグ（テンポ効果）が存在することである。我々のhealthcare_tempo_pocにおけるCandidate A-Hの分析では、ラグの平均的なドリフトμ_H1 = +0.15年/年が検出され、39か国中95%でテンポモデル（M2）が定数ラグモデル（M1）を上回った。これは「現在の医療支出が平均寿命に反映されるまでの時間が、時代とともに長くなっている」ことを意味し、フロー（当期支出）のみで効率を評価すると過小評価が生じる。</w:t>
      </w:r>
    </w:p>
    <w:p>
      <w:pPr>
        <w:pStyle w:val="Heading2"/>
      </w:pPr>
      <w:r>
        <w:t>2.3 HLGHの実証的エビデンス</w:t>
      </w:r>
    </w:p>
    <w:p>
      <w:r>
        <w:t>Health-Led Growth Hypothesis (HLGH) は、医療支出が経済成長を促進するという仮説である。表2に、OECD諸国を対象とした主要なパネルデータ研究の結果を要約する。</w:t>
      </w:r>
    </w:p>
    <w:p>
      <w:pPr>
        <w:spacing w:after="80"/>
      </w:pPr>
      <w:r>
        <w:rPr>
          <w:i/>
          <w:sz w:val="18"/>
        </w:rPr>
        <w:t>表2. Health-Led Growth Hypothesisの実証研究要約</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研究</w:t>
            </w:r>
          </w:p>
        </w:tc>
        <w:tc>
          <w:tcPr>
            <w:tcW w:type="dxa" w:w="1728"/>
          </w:tcPr>
          <w:p>
            <w:r>
              <w:rPr>
                <w:b/>
                <w:sz w:val="18"/>
              </w:rPr>
              <w:t>対象国数</w:t>
            </w:r>
          </w:p>
        </w:tc>
        <w:tc>
          <w:tcPr>
            <w:tcW w:type="dxa" w:w="1728"/>
          </w:tcPr>
          <w:p>
            <w:r>
              <w:rPr>
                <w:b/>
                <w:sz w:val="18"/>
              </w:rPr>
              <w:t>期間</w:t>
            </w:r>
          </w:p>
        </w:tc>
        <w:tc>
          <w:tcPr>
            <w:tcW w:type="dxa" w:w="1728"/>
          </w:tcPr>
          <w:p>
            <w:r>
              <w:rPr>
                <w:b/>
                <w:sz w:val="18"/>
              </w:rPr>
              <w:t>手法</w:t>
            </w:r>
          </w:p>
        </w:tc>
        <w:tc>
          <w:tcPr>
            <w:tcW w:type="dxa" w:w="1728"/>
          </w:tcPr>
          <w:p>
            <w:r>
              <w:rPr>
                <w:b/>
                <w:sz w:val="18"/>
              </w:rPr>
              <w:t>因果の方向</w:t>
            </w:r>
          </w:p>
        </w:tc>
      </w:tr>
      <w:tr>
        <w:tc>
          <w:tcPr>
            <w:tcW w:type="dxa" w:w="1728"/>
          </w:tcPr>
          <w:p>
            <w:r>
              <w:rPr>
                <w:sz w:val="18"/>
              </w:rPr>
              <w:t>Ertuğrul et al. 2024</w:t>
            </w:r>
          </w:p>
        </w:tc>
        <w:tc>
          <w:tcPr>
            <w:tcW w:type="dxa" w:w="1728"/>
          </w:tcPr>
          <w:p>
            <w:r>
              <w:rPr>
                <w:sz w:val="18"/>
              </w:rPr>
              <w:t>38</w:t>
            </w:r>
          </w:p>
        </w:tc>
        <w:tc>
          <w:tcPr>
            <w:tcW w:type="dxa" w:w="1728"/>
          </w:tcPr>
          <w:p>
            <w:r>
              <w:rPr>
                <w:sz w:val="18"/>
              </w:rPr>
              <w:t>2000-2019</w:t>
            </w:r>
          </w:p>
        </w:tc>
        <w:tc>
          <w:tcPr>
            <w:tcW w:type="dxa" w:w="1728"/>
          </w:tcPr>
          <w:p>
            <w:r>
              <w:rPr>
                <w:sz w:val="18"/>
              </w:rPr>
              <w:t>CS-ARDL / AMG</w:t>
            </w:r>
          </w:p>
        </w:tc>
        <w:tc>
          <w:tcPr>
            <w:tcW w:type="dxa" w:w="1728"/>
          </w:tcPr>
          <w:p>
            <w:r>
              <w:rPr>
                <w:sz w:val="18"/>
              </w:rPr>
              <w:t>Bidirectional</w:t>
            </w:r>
          </w:p>
        </w:tc>
      </w:tr>
      <w:tr>
        <w:tc>
          <w:tcPr>
            <w:tcW w:type="dxa" w:w="1728"/>
          </w:tcPr>
          <w:p>
            <w:r>
              <w:rPr>
                <w:sz w:val="18"/>
              </w:rPr>
              <w:t>Beylik et al. 2022</w:t>
            </w:r>
          </w:p>
        </w:tc>
        <w:tc>
          <w:tcPr>
            <w:tcW w:type="dxa" w:w="1728"/>
          </w:tcPr>
          <w:p>
            <w:r>
              <w:rPr>
                <w:sz w:val="18"/>
              </w:rPr>
              <w:t>21</w:t>
            </w:r>
          </w:p>
        </w:tc>
        <w:tc>
          <w:tcPr>
            <w:tcW w:type="dxa" w:w="1728"/>
          </w:tcPr>
          <w:p>
            <w:r>
              <w:rPr>
                <w:sz w:val="18"/>
              </w:rPr>
              <w:t>2000-2018</w:t>
            </w:r>
          </w:p>
        </w:tc>
        <w:tc>
          <w:tcPr>
            <w:tcW w:type="dxa" w:w="1728"/>
          </w:tcPr>
          <w:p>
            <w:r>
              <w:rPr>
                <w:sz w:val="18"/>
              </w:rPr>
              <w:t>Driscoll-Kraay</w:t>
            </w:r>
          </w:p>
        </w:tc>
        <w:tc>
          <w:tcPr>
            <w:tcW w:type="dxa" w:w="1728"/>
          </w:tcPr>
          <w:p>
            <w:r>
              <w:rPr>
                <w:sz w:val="18"/>
              </w:rPr>
              <w:t>Bidirectional</w:t>
            </w:r>
          </w:p>
        </w:tc>
      </w:tr>
      <w:tr>
        <w:tc>
          <w:tcPr>
            <w:tcW w:type="dxa" w:w="1728"/>
          </w:tcPr>
          <w:p>
            <w:r>
              <w:rPr>
                <w:sz w:val="18"/>
              </w:rPr>
              <w:t>Amiri &amp; Ventelou 2012</w:t>
            </w:r>
          </w:p>
        </w:tc>
        <w:tc>
          <w:tcPr>
            <w:tcW w:type="dxa" w:w="1728"/>
          </w:tcPr>
          <w:p>
            <w:r>
              <w:rPr>
                <w:sz w:val="18"/>
              </w:rPr>
              <w:t>20</w:t>
            </w:r>
          </w:p>
        </w:tc>
        <w:tc>
          <w:tcPr>
            <w:tcW w:type="dxa" w:w="1728"/>
          </w:tcPr>
          <w:p>
            <w:r>
              <w:rPr>
                <w:sz w:val="18"/>
              </w:rPr>
              <w:t>1995-2008</w:t>
            </w:r>
          </w:p>
        </w:tc>
        <w:tc>
          <w:tcPr>
            <w:tcW w:type="dxa" w:w="1728"/>
          </w:tcPr>
          <w:p>
            <w:r>
              <w:rPr>
                <w:sz w:val="18"/>
              </w:rPr>
              <w:t>Toda-Yamamoto</w:t>
            </w:r>
          </w:p>
        </w:tc>
        <w:tc>
          <w:tcPr>
            <w:tcW w:type="dxa" w:w="1728"/>
          </w:tcPr>
          <w:p>
            <w:r>
              <w:rPr>
                <w:sz w:val="18"/>
              </w:rPr>
              <w:t>Bidirectional (Granger)</w:t>
            </w:r>
          </w:p>
        </w:tc>
      </w:tr>
      <w:tr>
        <w:tc>
          <w:tcPr>
            <w:tcW w:type="dxa" w:w="1728"/>
          </w:tcPr>
          <w:p>
            <w:r>
              <w:rPr>
                <w:sz w:val="18"/>
              </w:rPr>
              <w:t>Wang 2011</w:t>
            </w:r>
          </w:p>
        </w:tc>
        <w:tc>
          <w:tcPr>
            <w:tcW w:type="dxa" w:w="1728"/>
          </w:tcPr>
          <w:p>
            <w:r>
              <w:rPr>
                <w:sz w:val="18"/>
              </w:rPr>
              <w:t>31</w:t>
            </w:r>
          </w:p>
        </w:tc>
        <w:tc>
          <w:tcPr>
            <w:tcW w:type="dxa" w:w="1728"/>
          </w:tcPr>
          <w:p>
            <w:r>
              <w:rPr>
                <w:sz w:val="18"/>
              </w:rPr>
              <w:t>1986-2007</w:t>
            </w:r>
          </w:p>
        </w:tc>
        <w:tc>
          <w:tcPr>
            <w:tcW w:type="dxa" w:w="1728"/>
          </w:tcPr>
          <w:p>
            <w:r>
              <w:rPr>
                <w:sz w:val="18"/>
              </w:rPr>
              <w:t>Panel VECM</w:t>
            </w:r>
          </w:p>
        </w:tc>
        <w:tc>
          <w:tcPr>
            <w:tcW w:type="dxa" w:w="1728"/>
          </w:tcPr>
          <w:p>
            <w:r>
              <w:rPr>
                <w:sz w:val="18"/>
              </w:rPr>
              <w:t>Bidirectional</w:t>
            </w:r>
          </w:p>
        </w:tc>
      </w:tr>
      <w:tr>
        <w:tc>
          <w:tcPr>
            <w:tcW w:type="dxa" w:w="1728"/>
          </w:tcPr>
          <w:p>
            <w:r>
              <w:rPr>
                <w:sz w:val="18"/>
              </w:rPr>
              <w:t>Piabuo &amp; Tieguhong 2017</w:t>
            </w:r>
          </w:p>
        </w:tc>
        <w:tc>
          <w:tcPr>
            <w:tcW w:type="dxa" w:w="1728"/>
          </w:tcPr>
          <w:p>
            <w:r>
              <w:rPr>
                <w:sz w:val="18"/>
              </w:rPr>
              <w:t>45</w:t>
            </w:r>
          </w:p>
        </w:tc>
        <w:tc>
          <w:tcPr>
            <w:tcW w:type="dxa" w:w="1728"/>
          </w:tcPr>
          <w:p>
            <w:r>
              <w:rPr>
                <w:sz w:val="18"/>
              </w:rPr>
              <w:t>1995-2015</w:t>
            </w:r>
          </w:p>
        </w:tc>
        <w:tc>
          <w:tcPr>
            <w:tcW w:type="dxa" w:w="1728"/>
          </w:tcPr>
          <w:p>
            <w:r>
              <w:rPr>
                <w:sz w:val="18"/>
              </w:rPr>
              <w:t>GMM</w:t>
            </w:r>
          </w:p>
        </w:tc>
        <w:tc>
          <w:tcPr>
            <w:tcW w:type="dxa" w:w="1728"/>
          </w:tcPr>
          <w:p>
            <w:r>
              <w:rPr>
                <w:sz w:val="18"/>
              </w:rPr>
              <w:t>H→G (developing)</w:t>
            </w:r>
          </w:p>
        </w:tc>
      </w:tr>
    </w:tbl>
    <w:p/>
    <w:p>
      <w:r>
        <w:t>全ての研究が医療支出→GDP成長の正の効果を確認しており、多くで双方向因果（bidirectional causality）が検出されている</w:t>
      </w:r>
      <w:r>
        <w:rPr>
          <w:sz w:val="16"/>
          <w:vertAlign w:val="superscript"/>
        </w:rPr>
        <w:t>4-7</w:t>
      </w:r>
      <w:r>
        <w:t>。これは医療費が単なるコストではなく、経済成長のエンジンの一つであることを示唆する。</w:t>
      </w:r>
    </w:p>
    <w:p>
      <w:pPr>
        <w:pStyle w:val="Heading1"/>
      </w:pPr>
      <w:r>
        <w:t>3. ニュートラルな持続可能性フレームワーク</w:t>
      </w:r>
    </w:p>
    <w:p>
      <w:r>
        <w:t>本稿では、医療費の持続可能性を「需要側リターン」と「供給側リターン」の二重構造で評価する枠組みを提案する（図4）。</w:t>
      </w:r>
    </w:p>
    <w:p>
      <w:pPr>
        <w:jc w:val="center"/>
      </w:pPr>
      <w:r>
        <w:drawing>
          <wp:inline xmlns:a="http://schemas.openxmlformats.org/drawingml/2006/main" xmlns:pic="http://schemas.openxmlformats.org/drawingml/2006/picture">
            <wp:extent cx="5029200" cy="3053140"/>
            <wp:docPr id="2" name="Picture 2"/>
            <wp:cNvGraphicFramePr>
              <a:graphicFrameLocks noChangeAspect="1"/>
            </wp:cNvGraphicFramePr>
            <a:graphic>
              <a:graphicData uri="http://schemas.openxmlformats.org/drawingml/2006/picture">
                <pic:pic>
                  <pic:nvPicPr>
                    <pic:cNvPr id="0" name="fig4_dual_return_schematic.png"/>
                    <pic:cNvPicPr/>
                  </pic:nvPicPr>
                  <pic:blipFill>
                    <a:blip r:embed="rId10"/>
                    <a:stretch>
                      <a:fillRect/>
                    </a:stretch>
                  </pic:blipFill>
                  <pic:spPr>
                    <a:xfrm>
                      <a:off x="0" y="0"/>
                      <a:ext cx="5029200" cy="3053140"/>
                    </a:xfrm>
                    <a:prstGeom prst="rect"/>
                  </pic:spPr>
                </pic:pic>
              </a:graphicData>
            </a:graphic>
          </wp:inline>
        </w:drawing>
      </w:r>
    </w:p>
    <w:p>
      <w:pPr>
        <w:spacing w:before="120" w:after="240"/>
        <w:jc w:val="center"/>
      </w:pPr>
      <w:r>
        <w:rPr>
          <w:i/>
          <w:sz w:val="18"/>
        </w:rPr>
        <w:t>図4. 医療支出の二重リターン・フレームワーク概念図</w:t>
      </w:r>
    </w:p>
    <w:p>
      <w:pPr>
        <w:pStyle w:val="Heading2"/>
      </w:pPr>
      <w:r>
        <w:t>3.1 需要側：財政回収率</w:t>
      </w:r>
    </w:p>
    <w:p>
      <w:r>
        <w:t>医療支出E(t)がI-O乗数mを通じて経済全体にm·E(t)の産出を誘発し、その産出に対して実効税率τで税収・社会保険料が還流する。公的医療費の割合をpfとすると、ニュートラルな財政持続可能性基準は次式で定義される：</w:t>
      </w:r>
    </w:p>
    <w:p>
      <w:pPr>
        <w:jc w:val="center"/>
      </w:pPr>
      <w:r>
        <w:rPr>
          <w:b/>
          <w:sz w:val="22"/>
        </w:rPr>
        <w:t>Fiscal Return Ratio = (τ · m) / pf ≥ 1.0</w:t>
      </w:r>
    </w:p>
    <w:p>
      <w:r>
        <w:t>この比率が1.0以上であれば、医療支出が誘発する経済活動からの税・保険料収入が、公的医療費の支出額を上回ることを意味する。表3に9か国の推計結果を、図3にその可視化を示す。</w:t>
      </w:r>
    </w:p>
    <w:p>
      <w:pPr>
        <w:spacing w:after="80"/>
      </w:pPr>
      <w:r>
        <w:rPr>
          <w:i/>
          <w:sz w:val="18"/>
        </w:rPr>
        <w:t>表3. ニュートラル財政持続可能性指標（9か国）</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国</w:t>
            </w:r>
          </w:p>
        </w:tc>
        <w:tc>
          <w:tcPr>
            <w:tcW w:type="dxa" w:w="1440"/>
          </w:tcPr>
          <w:p>
            <w:r>
              <w:rPr>
                <w:b/>
                <w:sz w:val="18"/>
              </w:rPr>
              <w:t>I-O乗数</w:t>
            </w:r>
          </w:p>
        </w:tc>
        <w:tc>
          <w:tcPr>
            <w:tcW w:type="dxa" w:w="1440"/>
          </w:tcPr>
          <w:p>
            <w:r>
              <w:rPr>
                <w:b/>
                <w:sz w:val="18"/>
              </w:rPr>
              <w:t>実効税率</w:t>
            </w:r>
          </w:p>
        </w:tc>
        <w:tc>
          <w:tcPr>
            <w:tcW w:type="dxa" w:w="1440"/>
          </w:tcPr>
          <w:p>
            <w:r>
              <w:rPr>
                <w:b/>
                <w:sz w:val="18"/>
              </w:rPr>
              <w:t>公的負担割合</w:t>
            </w:r>
          </w:p>
        </w:tc>
        <w:tc>
          <w:tcPr>
            <w:tcW w:type="dxa" w:w="1440"/>
          </w:tcPr>
          <w:p>
            <w:r>
              <w:rPr>
                <w:b/>
                <w:sz w:val="18"/>
              </w:rPr>
              <w:t>財政回収率</w:t>
            </w:r>
          </w:p>
        </w:tc>
        <w:tc>
          <w:tcPr>
            <w:tcW w:type="dxa" w:w="1440"/>
          </w:tcPr>
          <w:p>
            <w:r>
              <w:rPr>
                <w:b/>
                <w:sz w:val="18"/>
              </w:rPr>
              <w:t>持続的</w:t>
            </w:r>
          </w:p>
        </w:tc>
      </w:tr>
      <w:tr>
        <w:tc>
          <w:tcPr>
            <w:tcW w:type="dxa" w:w="1440"/>
          </w:tcPr>
          <w:p>
            <w:r>
              <w:rPr>
                <w:sz w:val="18"/>
              </w:rPr>
              <w:t>Japan</w:t>
            </w:r>
          </w:p>
        </w:tc>
        <w:tc>
          <w:tcPr>
            <w:tcW w:type="dxa" w:w="1440"/>
          </w:tcPr>
          <w:p>
            <w:r>
              <w:rPr>
                <w:sz w:val="18"/>
              </w:rPr>
              <w:t>2.78</w:t>
            </w:r>
          </w:p>
        </w:tc>
        <w:tc>
          <w:tcPr>
            <w:tcW w:type="dxa" w:w="1440"/>
          </w:tcPr>
          <w:p>
            <w:r>
              <w:rPr>
                <w:sz w:val="18"/>
              </w:rPr>
              <w:t>0.33</w:t>
            </w:r>
          </w:p>
        </w:tc>
        <w:tc>
          <w:tcPr>
            <w:tcW w:type="dxa" w:w="1440"/>
          </w:tcPr>
          <w:p>
            <w:r>
              <w:rPr>
                <w:sz w:val="18"/>
              </w:rPr>
              <w:t>0.84</w:t>
            </w:r>
          </w:p>
        </w:tc>
        <w:tc>
          <w:tcPr>
            <w:tcW w:type="dxa" w:w="1440"/>
          </w:tcPr>
          <w:p>
            <w:r>
              <w:rPr>
                <w:sz w:val="18"/>
              </w:rPr>
              <w:t>1.09</w:t>
            </w:r>
          </w:p>
        </w:tc>
        <w:tc>
          <w:tcPr>
            <w:tcW w:type="dxa" w:w="1440"/>
          </w:tcPr>
          <w:p>
            <w:r>
              <w:rPr>
                <w:sz w:val="18"/>
              </w:rPr>
              <w:t>Yes</w:t>
            </w:r>
          </w:p>
        </w:tc>
      </w:tr>
      <w:tr>
        <w:tc>
          <w:tcPr>
            <w:tcW w:type="dxa" w:w="1440"/>
          </w:tcPr>
          <w:p>
            <w:r>
              <w:rPr>
                <w:sz w:val="18"/>
              </w:rPr>
              <w:t>USA</w:t>
            </w:r>
          </w:p>
        </w:tc>
        <w:tc>
          <w:tcPr>
            <w:tcW w:type="dxa" w:w="1440"/>
          </w:tcPr>
          <w:p>
            <w:r>
              <w:rPr>
                <w:sz w:val="18"/>
              </w:rPr>
              <w:t>1.7</w:t>
            </w:r>
          </w:p>
        </w:tc>
        <w:tc>
          <w:tcPr>
            <w:tcW w:type="dxa" w:w="1440"/>
          </w:tcPr>
          <w:p>
            <w:r>
              <w:rPr>
                <w:sz w:val="18"/>
              </w:rPr>
              <w:t>0.27</w:t>
            </w:r>
          </w:p>
        </w:tc>
        <w:tc>
          <w:tcPr>
            <w:tcW w:type="dxa" w:w="1440"/>
          </w:tcPr>
          <w:p>
            <w:r>
              <w:rPr>
                <w:sz w:val="18"/>
              </w:rPr>
              <w:t>0.5</w:t>
            </w:r>
          </w:p>
        </w:tc>
        <w:tc>
          <w:tcPr>
            <w:tcW w:type="dxa" w:w="1440"/>
          </w:tcPr>
          <w:p>
            <w:r>
              <w:rPr>
                <w:sz w:val="18"/>
              </w:rPr>
              <w:t>0.92</w:t>
            </w:r>
          </w:p>
        </w:tc>
        <w:tc>
          <w:tcPr>
            <w:tcW w:type="dxa" w:w="1440"/>
          </w:tcPr>
          <w:p>
            <w:r>
              <w:rPr>
                <w:sz w:val="18"/>
              </w:rPr>
              <w:t>No</w:t>
            </w:r>
          </w:p>
        </w:tc>
      </w:tr>
      <w:tr>
        <w:tc>
          <w:tcPr>
            <w:tcW w:type="dxa" w:w="1440"/>
          </w:tcPr>
          <w:p>
            <w:r>
              <w:rPr>
                <w:sz w:val="18"/>
              </w:rPr>
              <w:t>Germany</w:t>
            </w:r>
          </w:p>
        </w:tc>
        <w:tc>
          <w:tcPr>
            <w:tcW w:type="dxa" w:w="1440"/>
          </w:tcPr>
          <w:p>
            <w:r>
              <w:rPr>
                <w:sz w:val="18"/>
              </w:rPr>
              <w:t>2.1</w:t>
            </w:r>
          </w:p>
        </w:tc>
        <w:tc>
          <w:tcPr>
            <w:tcW w:type="dxa" w:w="1440"/>
          </w:tcPr>
          <w:p>
            <w:r>
              <w:rPr>
                <w:sz w:val="18"/>
              </w:rPr>
              <w:t>0.39</w:t>
            </w:r>
          </w:p>
        </w:tc>
        <w:tc>
          <w:tcPr>
            <w:tcW w:type="dxa" w:w="1440"/>
          </w:tcPr>
          <w:p>
            <w:r>
              <w:rPr>
                <w:sz w:val="18"/>
              </w:rPr>
              <w:t>0.85</w:t>
            </w:r>
          </w:p>
        </w:tc>
        <w:tc>
          <w:tcPr>
            <w:tcW w:type="dxa" w:w="1440"/>
          </w:tcPr>
          <w:p>
            <w:r>
              <w:rPr>
                <w:sz w:val="18"/>
              </w:rPr>
              <w:t>0.96</w:t>
            </w:r>
          </w:p>
        </w:tc>
        <w:tc>
          <w:tcPr>
            <w:tcW w:type="dxa" w:w="1440"/>
          </w:tcPr>
          <w:p>
            <w:r>
              <w:rPr>
                <w:sz w:val="18"/>
              </w:rPr>
              <w:t>No</w:t>
            </w:r>
          </w:p>
        </w:tc>
      </w:tr>
      <w:tr>
        <w:tc>
          <w:tcPr>
            <w:tcW w:type="dxa" w:w="1440"/>
          </w:tcPr>
          <w:p>
            <w:r>
              <w:rPr>
                <w:sz w:val="18"/>
              </w:rPr>
              <w:t>UK</w:t>
            </w:r>
          </w:p>
        </w:tc>
        <w:tc>
          <w:tcPr>
            <w:tcW w:type="dxa" w:w="1440"/>
          </w:tcPr>
          <w:p>
            <w:r>
              <w:rPr>
                <w:sz w:val="18"/>
              </w:rPr>
              <w:t>1.9</w:t>
            </w:r>
          </w:p>
        </w:tc>
        <w:tc>
          <w:tcPr>
            <w:tcW w:type="dxa" w:w="1440"/>
          </w:tcPr>
          <w:p>
            <w:r>
              <w:rPr>
                <w:sz w:val="18"/>
              </w:rPr>
              <w:t>0.33</w:t>
            </w:r>
          </w:p>
        </w:tc>
        <w:tc>
          <w:tcPr>
            <w:tcW w:type="dxa" w:w="1440"/>
          </w:tcPr>
          <w:p>
            <w:r>
              <w:rPr>
                <w:sz w:val="18"/>
              </w:rPr>
              <w:t>0.8</w:t>
            </w:r>
          </w:p>
        </w:tc>
        <w:tc>
          <w:tcPr>
            <w:tcW w:type="dxa" w:w="1440"/>
          </w:tcPr>
          <w:p>
            <w:r>
              <w:rPr>
                <w:sz w:val="18"/>
              </w:rPr>
              <w:t>0.78</w:t>
            </w:r>
          </w:p>
        </w:tc>
        <w:tc>
          <w:tcPr>
            <w:tcW w:type="dxa" w:w="1440"/>
          </w:tcPr>
          <w:p>
            <w:r>
              <w:rPr>
                <w:sz w:val="18"/>
              </w:rPr>
              <w:t>No</w:t>
            </w:r>
          </w:p>
        </w:tc>
      </w:tr>
      <w:tr>
        <w:tc>
          <w:tcPr>
            <w:tcW w:type="dxa" w:w="1440"/>
          </w:tcPr>
          <w:p>
            <w:r>
              <w:rPr>
                <w:sz w:val="18"/>
              </w:rPr>
              <w:t>France</w:t>
            </w:r>
          </w:p>
        </w:tc>
        <w:tc>
          <w:tcPr>
            <w:tcW w:type="dxa" w:w="1440"/>
          </w:tcPr>
          <w:p>
            <w:r>
              <w:rPr>
                <w:sz w:val="18"/>
              </w:rPr>
              <w:t>2.2</w:t>
            </w:r>
          </w:p>
        </w:tc>
        <w:tc>
          <w:tcPr>
            <w:tcW w:type="dxa" w:w="1440"/>
          </w:tcPr>
          <w:p>
            <w:r>
              <w:rPr>
                <w:sz w:val="18"/>
              </w:rPr>
              <w:t>0.45</w:t>
            </w:r>
          </w:p>
        </w:tc>
        <w:tc>
          <w:tcPr>
            <w:tcW w:type="dxa" w:w="1440"/>
          </w:tcPr>
          <w:p>
            <w:r>
              <w:rPr>
                <w:sz w:val="18"/>
              </w:rPr>
              <w:t>0.84</w:t>
            </w:r>
          </w:p>
        </w:tc>
        <w:tc>
          <w:tcPr>
            <w:tcW w:type="dxa" w:w="1440"/>
          </w:tcPr>
          <w:p>
            <w:r>
              <w:rPr>
                <w:sz w:val="18"/>
              </w:rPr>
              <w:t>1.18</w:t>
            </w:r>
          </w:p>
        </w:tc>
        <w:tc>
          <w:tcPr>
            <w:tcW w:type="dxa" w:w="1440"/>
          </w:tcPr>
          <w:p>
            <w:r>
              <w:rPr>
                <w:sz w:val="18"/>
              </w:rPr>
              <w:t>Yes</w:t>
            </w:r>
          </w:p>
        </w:tc>
      </w:tr>
      <w:tr>
        <w:tc>
          <w:tcPr>
            <w:tcW w:type="dxa" w:w="1440"/>
          </w:tcPr>
          <w:p>
            <w:r>
              <w:rPr>
                <w:sz w:val="18"/>
              </w:rPr>
              <w:t>Sweden</w:t>
            </w:r>
          </w:p>
        </w:tc>
        <w:tc>
          <w:tcPr>
            <w:tcW w:type="dxa" w:w="1440"/>
          </w:tcPr>
          <w:p>
            <w:r>
              <w:rPr>
                <w:sz w:val="18"/>
              </w:rPr>
              <w:t>2.05</w:t>
            </w:r>
          </w:p>
        </w:tc>
        <w:tc>
          <w:tcPr>
            <w:tcW w:type="dxa" w:w="1440"/>
          </w:tcPr>
          <w:p>
            <w:r>
              <w:rPr>
                <w:sz w:val="18"/>
              </w:rPr>
              <w:t>0.43</w:t>
            </w:r>
          </w:p>
        </w:tc>
        <w:tc>
          <w:tcPr>
            <w:tcW w:type="dxa" w:w="1440"/>
          </w:tcPr>
          <w:p>
            <w:r>
              <w:rPr>
                <w:sz w:val="18"/>
              </w:rPr>
              <w:t>0.85</w:t>
            </w:r>
          </w:p>
        </w:tc>
        <w:tc>
          <w:tcPr>
            <w:tcW w:type="dxa" w:w="1440"/>
          </w:tcPr>
          <w:p>
            <w:r>
              <w:rPr>
                <w:sz w:val="18"/>
              </w:rPr>
              <w:t>1.04</w:t>
            </w:r>
          </w:p>
        </w:tc>
        <w:tc>
          <w:tcPr>
            <w:tcW w:type="dxa" w:w="1440"/>
          </w:tcPr>
          <w:p>
            <w:r>
              <w:rPr>
                <w:sz w:val="18"/>
              </w:rPr>
              <w:t>Yes</w:t>
            </w:r>
          </w:p>
        </w:tc>
      </w:tr>
      <w:tr>
        <w:tc>
          <w:tcPr>
            <w:tcW w:type="dxa" w:w="1440"/>
          </w:tcPr>
          <w:p>
            <w:r>
              <w:rPr>
                <w:sz w:val="18"/>
              </w:rPr>
              <w:t>Canada</w:t>
            </w:r>
          </w:p>
        </w:tc>
        <w:tc>
          <w:tcPr>
            <w:tcW w:type="dxa" w:w="1440"/>
          </w:tcPr>
          <w:p>
            <w:r>
              <w:rPr>
                <w:sz w:val="18"/>
              </w:rPr>
              <w:t>1.82</w:t>
            </w:r>
          </w:p>
        </w:tc>
        <w:tc>
          <w:tcPr>
            <w:tcW w:type="dxa" w:w="1440"/>
          </w:tcPr>
          <w:p>
            <w:r>
              <w:rPr>
                <w:sz w:val="18"/>
              </w:rPr>
              <w:t>0.33</w:t>
            </w:r>
          </w:p>
        </w:tc>
        <w:tc>
          <w:tcPr>
            <w:tcW w:type="dxa" w:w="1440"/>
          </w:tcPr>
          <w:p>
            <w:r>
              <w:rPr>
                <w:sz w:val="18"/>
              </w:rPr>
              <w:t>0.73</w:t>
            </w:r>
          </w:p>
        </w:tc>
        <w:tc>
          <w:tcPr>
            <w:tcW w:type="dxa" w:w="1440"/>
          </w:tcPr>
          <w:p>
            <w:r>
              <w:rPr>
                <w:sz w:val="18"/>
              </w:rPr>
              <w:t>0.82</w:t>
            </w:r>
          </w:p>
        </w:tc>
        <w:tc>
          <w:tcPr>
            <w:tcW w:type="dxa" w:w="1440"/>
          </w:tcPr>
          <w:p>
            <w:r>
              <w:rPr>
                <w:sz w:val="18"/>
              </w:rPr>
              <w:t>No</w:t>
            </w:r>
          </w:p>
        </w:tc>
      </w:tr>
      <w:tr>
        <w:tc>
          <w:tcPr>
            <w:tcW w:type="dxa" w:w="1440"/>
          </w:tcPr>
          <w:p>
            <w:r>
              <w:rPr>
                <w:sz w:val="18"/>
              </w:rPr>
              <w:t>Australia</w:t>
            </w:r>
          </w:p>
        </w:tc>
        <w:tc>
          <w:tcPr>
            <w:tcW w:type="dxa" w:w="1440"/>
          </w:tcPr>
          <w:p>
            <w:r>
              <w:rPr>
                <w:sz w:val="18"/>
              </w:rPr>
              <w:t>1.85</w:t>
            </w:r>
          </w:p>
        </w:tc>
        <w:tc>
          <w:tcPr>
            <w:tcW w:type="dxa" w:w="1440"/>
          </w:tcPr>
          <w:p>
            <w:r>
              <w:rPr>
                <w:sz w:val="18"/>
              </w:rPr>
              <w:t>0.28</w:t>
            </w:r>
          </w:p>
        </w:tc>
        <w:tc>
          <w:tcPr>
            <w:tcW w:type="dxa" w:w="1440"/>
          </w:tcPr>
          <w:p>
            <w:r>
              <w:rPr>
                <w:sz w:val="18"/>
              </w:rPr>
              <w:t>0.68</w:t>
            </w:r>
          </w:p>
        </w:tc>
        <w:tc>
          <w:tcPr>
            <w:tcW w:type="dxa" w:w="1440"/>
          </w:tcPr>
          <w:p>
            <w:r>
              <w:rPr>
                <w:sz w:val="18"/>
              </w:rPr>
              <w:t>0.76</w:t>
            </w:r>
          </w:p>
        </w:tc>
        <w:tc>
          <w:tcPr>
            <w:tcW w:type="dxa" w:w="1440"/>
          </w:tcPr>
          <w:p>
            <w:r>
              <w:rPr>
                <w:sz w:val="18"/>
              </w:rPr>
              <w:t>No</w:t>
            </w:r>
          </w:p>
        </w:tc>
      </w:tr>
      <w:tr>
        <w:tc>
          <w:tcPr>
            <w:tcW w:type="dxa" w:w="1440"/>
          </w:tcPr>
          <w:p>
            <w:r>
              <w:rPr>
                <w:sz w:val="18"/>
              </w:rPr>
              <w:t>Korea</w:t>
            </w:r>
          </w:p>
        </w:tc>
        <w:tc>
          <w:tcPr>
            <w:tcW w:type="dxa" w:w="1440"/>
          </w:tcPr>
          <w:p>
            <w:r>
              <w:rPr>
                <w:sz w:val="18"/>
              </w:rPr>
              <w:t>1.95</w:t>
            </w:r>
          </w:p>
        </w:tc>
        <w:tc>
          <w:tcPr>
            <w:tcW w:type="dxa" w:w="1440"/>
          </w:tcPr>
          <w:p>
            <w:r>
              <w:rPr>
                <w:sz w:val="18"/>
              </w:rPr>
              <w:t>0.27</w:t>
            </w:r>
          </w:p>
        </w:tc>
        <w:tc>
          <w:tcPr>
            <w:tcW w:type="dxa" w:w="1440"/>
          </w:tcPr>
          <w:p>
            <w:r>
              <w:rPr>
                <w:sz w:val="18"/>
              </w:rPr>
              <w:t>0.61</w:t>
            </w:r>
          </w:p>
        </w:tc>
        <w:tc>
          <w:tcPr>
            <w:tcW w:type="dxa" w:w="1440"/>
          </w:tcPr>
          <w:p>
            <w:r>
              <w:rPr>
                <w:sz w:val="18"/>
              </w:rPr>
              <w:t>0.86</w:t>
            </w:r>
          </w:p>
        </w:tc>
        <w:tc>
          <w:tcPr>
            <w:tcW w:type="dxa" w:w="1440"/>
          </w:tcPr>
          <w:p>
            <w:r>
              <w:rPr>
                <w:sz w:val="18"/>
              </w:rPr>
              <w:t>No</w:t>
            </w:r>
          </w:p>
        </w:tc>
      </w:tr>
    </w:tbl>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5029200" cy="3143250"/>
                    </a:xfrm>
                    <a:prstGeom prst="rect"/>
                  </pic:spPr>
                </pic:pic>
              </a:graphicData>
            </a:graphic>
          </wp:inline>
        </w:drawing>
      </w:r>
    </w:p>
    <w:p>
      <w:pPr>
        <w:spacing w:before="120" w:after="240"/>
        <w:jc w:val="center"/>
      </w:pPr>
      <w:r>
        <w:rPr>
          <w:i/>
          <w:sz w:val="18"/>
        </w:rPr>
        <w:t>図3. 各国の医療支出財政回収率（τ·m / pf）</w:t>
      </w:r>
    </w:p>
    <w:p>
      <w:r>
        <w:t>9か国中3か国（日本1.09、フランス1.18、スウェーデン1.04）で需要側のみの財政回収率が1.0を上回った。残りの6か国も0.76〜0.96と1.0に近接しており、需要側リターンだけで公的支出の大部分を回収できている。ドイツ（0.96）や米国（0.92）、韓国（0.86）は供給側の健康資本蓄積リターンを加味すれば閾値を超える可能性が高い。これは、医療費を単純に「削減すべきコスト」と位置づける議論が、経済循環の実態を過小評価していることを示唆する。</w:t>
      </w:r>
    </w:p>
    <w:p>
      <w:pPr>
        <w:pStyle w:val="Heading2"/>
      </w:pPr>
      <w:r>
        <w:t>3.2 供給側：テンポ調整済み健康資本リターン</w:t>
      </w:r>
    </w:p>
    <w:p>
      <w:r>
        <w:t>需要側の財政回収率は当期のフロー効果のみを捉える。しかし医療支出の真の経済的価値には、将来の生産性向上を通じた供給側リターンも含まれる。healthcare_tempo_pocの分析では、支出→アウトカムのラグμ_Hが時間とともにドリフトしている（μ_H1 = +0.15年/年）ことが示された。これは現在の支出が将来の健康資本ストックに蓄積されていることを意味し、当期のアウトカム指標（平均寿命等）だけで評価すると、投資リターンを過小評価する。</w:t>
      </w:r>
    </w:p>
    <w:p>
      <w:r>
        <w:t>統合的な持続可能性基準は次のように書ける：</w:t>
      </w:r>
    </w:p>
    <w:p>
      <w:pPr>
        <w:jc w:val="center"/>
      </w:pPr>
      <w:r>
        <w:rPr>
          <w:b/>
          <w:sz w:val="20"/>
        </w:rPr>
        <w:t>Total Return = Demand Return (τ·m·E) + Supply Return (∂GDP/∂H · ΔH)</w:t>
        <w:br/>
        <w:t>≥ Public Cost (pf · E)</w:t>
      </w:r>
    </w:p>
    <w:p>
      <w:pPr>
        <w:pStyle w:val="Heading1"/>
      </w:pPr>
      <w:r>
        <w:t>4. クロスカントリー・エビデンス</w:t>
      </w:r>
    </w:p>
    <w:p>
      <w:r>
        <w:t>図2に、OECD加盟国における対GDP医療支出と平均寿命の関係を示す</w:t>
      </w:r>
      <w:r>
        <w:rPr>
          <w:sz w:val="16"/>
          <w:vertAlign w:val="superscript"/>
        </w:rPr>
        <w:t>10,12</w:t>
      </w:r>
      <w:r>
        <w:t>。二次関数フィットは逓減的な関係を示し、一定水準を超えると支出増加あたりの平均寿命改善は小さくなる。しかしこの「逓減」は供給側の効率ではなく、テンポ効果（ラグの長期化）を反映している可能性がある。</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fig2_che_vs_lifeexp.png"/>
                    <pic:cNvPicPr/>
                  </pic:nvPicPr>
                  <pic:blipFill>
                    <a:blip r:embed="rId12"/>
                    <a:stretch>
                      <a:fillRect/>
                    </a:stretch>
                  </pic:blipFill>
                  <pic:spPr>
                    <a:xfrm>
                      <a:off x="0" y="0"/>
                      <a:ext cx="5029200" cy="3771900"/>
                    </a:xfrm>
                    <a:prstGeom prst="rect"/>
                  </pic:spPr>
                </pic:pic>
              </a:graphicData>
            </a:graphic>
          </wp:inline>
        </w:drawing>
      </w:r>
    </w:p>
    <w:p>
      <w:pPr>
        <w:spacing w:before="120" w:after="240"/>
        <w:jc w:val="center"/>
      </w:pPr>
      <w:r>
        <w:rPr>
          <w:i/>
          <w:sz w:val="18"/>
        </w:rPr>
        <w:t>図2. 医療支出（対GDP%）と平均寿命の関係（OECD, 2019年）</w:t>
      </w:r>
    </w:p>
    <w:p>
      <w:r>
        <w:t>米国は対GDP 17%の支出にもかかわらず平均寿命がOECD平均以下であり、「非効率」の典型例とされる。しかしニュートラルな観点からは、(1) I-O乗数1.7による経済波及効果は年間約1.0兆ドルの追加産出を生み、(2) テンポ効果のドリフトが示すように、支出の一部は将来の健康資本に蓄積されている。問題は支出の「量」ではなく「構成」であり、治療（curative）偏重から予防・R&amp;Dへのシフトが鍵となる</w:t>
      </w:r>
      <w:r>
        <w:rPr>
          <w:sz w:val="16"/>
          <w:vertAlign w:val="superscript"/>
        </w:rPr>
        <w:t>1,10</w:t>
      </w:r>
      <w:r>
        <w:t>。</w:t>
      </w:r>
    </w:p>
    <w:p>
      <w:pPr>
        <w:pStyle w:val="Heading1"/>
      </w:pPr>
      <w:r>
        <w:t>5. 考察</w:t>
      </w:r>
    </w:p>
    <w:p>
      <w:pPr>
        <w:pStyle w:val="Heading2"/>
      </w:pPr>
      <w:r>
        <w:t>5.1 パラダイムの転換：コストから投資へ</w:t>
      </w:r>
    </w:p>
    <w:p>
      <w:r>
        <w:t>医療費を「コスト」と見なす従来のパラダイムは、支出の需要側経済効果と供給側健康資本蓄積効果を無視している。本稿が提示したニュートラルな基準によれば、需要側のみでも日本・フランス・スウェーデンでは税収還流が公的支出を上回り、他の6か国も0.76〜0.96と大部分を回収している。供給側リターンを加えれば、大半の国で総合的な持続可能性が成立しうる。これは医療費「抑制」政策が、意図せず経済波及効果を削減し、雇用と税収を減少させる可能性を示唆する。</w:t>
      </w:r>
    </w:p>
    <w:p>
      <w:pPr>
        <w:pStyle w:val="Heading2"/>
      </w:pPr>
      <w:r>
        <w:t>5.2 日米比較の含意</w:t>
      </w:r>
    </w:p>
    <w:p>
      <w:r>
        <w:t>日本の高い乗数（2.78）は、国民皆保険制度による高いアクセス率と、医薬品・医療機器産業の国内集積によるものと考えられる。米国の相対的に低い乗数（1.7）は、高い薬価と保険管理コストが海外製薬企業や保険会社の利潤として域外に漏出するためである</w:t>
      </w:r>
      <w:r>
        <w:rPr>
          <w:sz w:val="16"/>
          <w:vertAlign w:val="superscript"/>
        </w:rPr>
        <w:t>3</w:t>
      </w:r>
      <w:r>
        <w:t>。しかし需要側乗数の差異は、制度設計の改善余地を示すものであり、医療費そのものが「高すぎる」ことを意味しない。</w:t>
      </w:r>
    </w:p>
    <w:p>
      <w:pPr>
        <w:pStyle w:val="Heading2"/>
      </w:pPr>
      <w:r>
        <w:t>5.3 限界と今後の課題</w:t>
      </w:r>
    </w:p>
    <w:p>
      <w:r>
        <w:t>本分析にはいくつかの限界がある。第一に、I-O乗数は静的なモデルであり、価格調整や供給制約を考慮していない。第二に、財政回収率の推計は実効税率τの設定に依存し、国際比較にはさらなる精緻化が必要である。第三に、テンポ効果のμ_Hドリフトは健康資本蓄積の代理指標であり、直接的な因果推論には追加的な識別戦略が求められる。今後は、OECD SHA（System of Health Accounts）の機能別支出データを用いて、バケット別乗数（Candidate D-H）の推定を行い、「どの種類の医療支出がもっとも高いリターンを生むか」を検証する予定である。</w:t>
      </w:r>
    </w:p>
    <w:p>
      <w:pPr>
        <w:pStyle w:val="Heading1"/>
      </w:pPr>
      <w:r>
        <w:t>6. 結論</w:t>
      </w:r>
    </w:p>
    <w:p>
      <w:r>
        <w:t>医療費は「コスト」であると同時に「経済効果」である。産業連関乗数は、医療支出が直接・間接・誘発効果を通じて1.7〜2.9倍の経済産出を生むことを示す。HLGH研究は、医療支出とGDP成長の間に双方向因果が存在することを確認している。テンポ効果の分析は、当期のフロー指標のみでは投資リターンを過小評価することを示す。需要側のみの財政回収率では9か国中3か国が1.0を上回り、残りも0.76〜0.96と近接していた。供給側リターンを加味した統合基準の下では、大半の国で医療支出は経済的に正当化されうる。医療費政策の議論は、「いかに抑制するか」から「いかに経済的リターンを最大化するか」へ転換すべきである。</w:t>
      </w:r>
    </w:p>
    <w:p>
      <w:pPr>
        <w:pStyle w:val="Heading1"/>
      </w:pPr>
      <w:r>
        <w:t>参考文献</w:t>
      </w:r>
    </w:p>
    <w:p>
      <w:r>
        <w:rPr>
          <w:b/>
          <w:sz w:val="18"/>
        </w:rPr>
        <w:t xml:space="preserve">1. </w:t>
      </w:r>
      <w:r>
        <w:rPr>
          <w:sz w:val="18"/>
        </w:rPr>
        <w:t>Yamada G, Imanaka Y. Input-output analysis on the economic impact of medical care in Japan. Environ Health Prev Med. 2015;20(5):379-387.</w:t>
      </w:r>
    </w:p>
    <w:p>
      <w:r>
        <w:rPr>
          <w:b/>
          <w:sz w:val="18"/>
        </w:rPr>
        <w:t xml:space="preserve">2. </w:t>
      </w:r>
      <w:r>
        <w:rPr>
          <w:sz w:val="18"/>
        </w:rPr>
        <w:t>前田由美子. 医療・介護の経済波及効果について. 日医総研ワーキングペーパー No. 172. 2008.</w:t>
      </w:r>
    </w:p>
    <w:p>
      <w:r>
        <w:rPr>
          <w:b/>
          <w:sz w:val="18"/>
        </w:rPr>
        <w:t xml:space="preserve">3. </w:t>
      </w:r>
      <w:r>
        <w:rPr>
          <w:sz w:val="18"/>
        </w:rPr>
        <w:t>Dupor B, Guerrero R. The aggregate and local economic effects of government financed health care. Econ Inq. 2021;59(2):662-670.</w:t>
      </w:r>
    </w:p>
    <w:p>
      <w:r>
        <w:rPr>
          <w:b/>
          <w:sz w:val="18"/>
        </w:rPr>
        <w:t xml:space="preserve">4. </w:t>
      </w:r>
      <w:r>
        <w:rPr>
          <w:sz w:val="18"/>
        </w:rPr>
        <w:t>Ertuğrul HM, Baycan O, Atilgan E, Ulucan H. Health-led growth hypothesis and health financing systems: an econometric synthesis for OECD countries. Front Public Health. 2024;12:1437304.</w:t>
      </w:r>
    </w:p>
    <w:p>
      <w:r>
        <w:rPr>
          <w:b/>
          <w:sz w:val="18"/>
        </w:rPr>
        <w:t xml:space="preserve">5. </w:t>
      </w:r>
      <w:r>
        <w:rPr>
          <w:sz w:val="18"/>
        </w:rPr>
        <w:t>Amiri A, Ventelou B. Granger causality between total expenditure on health and GDP in OECD: Evidence from the Toda-Yamamoto approach. Econ Lett. 2012;116(3):541-544.</w:t>
      </w:r>
    </w:p>
    <w:p>
      <w:r>
        <w:rPr>
          <w:b/>
          <w:sz w:val="18"/>
        </w:rPr>
        <w:t xml:space="preserve">6. </w:t>
      </w:r>
      <w:r>
        <w:rPr>
          <w:sz w:val="18"/>
        </w:rPr>
        <w:t>Beylik U, Cetin M, Senol O, Cirakli U, Ecevit E. The relationship between health expenditure indicators and economic growth in OECD countries: A Driscoll-Kraay approach. Front Public Health. 2022;10:1050550.</w:t>
      </w:r>
    </w:p>
    <w:p>
      <w:r>
        <w:rPr>
          <w:b/>
          <w:sz w:val="18"/>
        </w:rPr>
        <w:t xml:space="preserve">7. </w:t>
      </w:r>
      <w:r>
        <w:rPr>
          <w:sz w:val="18"/>
        </w:rPr>
        <w:t>Wang KM. Health care expenditure and economic growth: Quantile panel-type analysis. Econ Model. 2011;28(4):1536-1549.</w:t>
      </w:r>
    </w:p>
    <w:p>
      <w:r>
        <w:rPr>
          <w:b/>
          <w:sz w:val="18"/>
        </w:rPr>
        <w:t xml:space="preserve">8. </w:t>
      </w:r>
      <w:r>
        <w:rPr>
          <w:sz w:val="18"/>
        </w:rPr>
        <w:t>Mushkin SJ. Health as an investment. J Polit Econ. 1962;70(5):129-157.</w:t>
      </w:r>
    </w:p>
    <w:p>
      <w:r>
        <w:rPr>
          <w:b/>
          <w:sz w:val="18"/>
        </w:rPr>
        <w:t xml:space="preserve">9. </w:t>
      </w:r>
      <w:r>
        <w:rPr>
          <w:sz w:val="18"/>
        </w:rPr>
        <w:t>Grossman M. On the concept of health capital and the demand for health. J Polit Econ. 1972;80(2):223-255.</w:t>
      </w:r>
    </w:p>
    <w:p>
      <w:r>
        <w:rPr>
          <w:b/>
          <w:sz w:val="18"/>
        </w:rPr>
        <w:t xml:space="preserve">10. </w:t>
      </w:r>
      <w:r>
        <w:rPr>
          <w:sz w:val="18"/>
        </w:rPr>
        <w:t>OECD. Health at a Glance 2023: OECD Indicators. Paris: OECD Publishing; 2023.</w:t>
      </w:r>
    </w:p>
    <w:p>
      <w:r>
        <w:rPr>
          <w:b/>
          <w:sz w:val="18"/>
        </w:rPr>
        <w:t xml:space="preserve">11. </w:t>
      </w:r>
      <w:r>
        <w:rPr>
          <w:sz w:val="18"/>
        </w:rPr>
        <w:t>内閣府. 令和7年度日本経済レポート. 東京: 内閣府政策統括官; 2025.</w:t>
      </w:r>
    </w:p>
    <w:p>
      <w:r>
        <w:rPr>
          <w:b/>
          <w:sz w:val="18"/>
        </w:rPr>
        <w:t xml:space="preserve">12. </w:t>
      </w:r>
      <w:r>
        <w:rPr>
          <w:sz w:val="18"/>
        </w:rPr>
        <w:t>World Bank. World Development Indicators. Washington, DC: World Bank; 2024. Available from: https://databank.worldbank.org/</w:t>
      </w:r>
    </w:p>
    <w:p>
      <w:r>
        <w:rPr>
          <w:b/>
          <w:sz w:val="18"/>
        </w:rPr>
        <w:t xml:space="preserve">13. </w:t>
      </w:r>
      <w:r>
        <w:rPr>
          <w:sz w:val="18"/>
        </w:rPr>
        <w:t>Henke KD, Ostwald DA. Health satellite account: the first step. In: Dged JM, ed. The Elgar Companion to Health Economics. 2nd ed. Cheltenham: Edward Elgar; 2012. p. 327-337.</w:t>
      </w:r>
    </w:p>
    <w:p>
      <w:r>
        <w:rPr>
          <w:b/>
          <w:sz w:val="18"/>
        </w:rPr>
        <w:t xml:space="preserve">14. </w:t>
      </w:r>
      <w:r>
        <w:rPr>
          <w:sz w:val="18"/>
        </w:rPr>
        <w:t>Piabuo SM, Tieguhong JC. Health expenditure and economic growth — a review of the literature and an analysis between the economic community for central African states (CEMAC) and selected African countries. Health Econ Rev. 2017;7(1):23.</w:t>
      </w:r>
    </w:p>
    <w:p>
      <w:r>
        <w:rPr>
          <w:b/>
          <w:sz w:val="18"/>
        </w:rPr>
        <w:t xml:space="preserve">15. </w:t>
      </w:r>
      <w:r>
        <w:rPr>
          <w:sz w:val="18"/>
        </w:rPr>
        <w:t>Barro RJ. Health and economic growth. Ann Econ Finance. 2013;14(2):305-342.</w:t>
      </w:r>
    </w:p>
    <w:p>
      <w:r>
        <w:rPr>
          <w:b/>
          <w:sz w:val="18"/>
        </w:rPr>
        <w:t xml:space="preserve">16. </w:t>
      </w:r>
      <w:r>
        <w:rPr>
          <w:sz w:val="18"/>
        </w:rPr>
        <w:t>Bloom DE, Canning D, Sevilla J. The effect of health on economic growth: a production function approach. World Dev. 2004;32(1):1-13.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