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rPr>
          <w:rFonts w:ascii="Times New Roman" w:hAnsi="Times New Roman"/>
          <w:b w:val="0"/>
          <w:i w:val="0"/>
          <w:sz w:val="24"/>
        </w:rPr>
        <w:t>13 August 2026</w:t>
      </w:r>
    </w:p>
    <w:p>
      <w:pPr>
        <w:spacing w:after="120"/>
        <w:jc w:val="left"/>
      </w:pPr>
      <w:r>
        <w:rPr>
          <w:rFonts w:ascii="Times New Roman" w:hAnsi="Times New Roman"/>
          <w:b w:val="0"/>
          <w:i w:val="0"/>
          <w:sz w:val="24"/>
        </w:rPr>
        <w:t>Jianjun Yang, MD, Editor-in-Chief</w:t>
      </w:r>
    </w:p>
    <w:p>
      <w:pPr>
        <w:spacing w:after="120"/>
        <w:jc w:val="left"/>
      </w:pPr>
      <w:r>
        <w:rPr>
          <w:rFonts w:ascii="Times New Roman" w:hAnsi="Times New Roman"/>
          <w:b w:val="0"/>
          <w:i w:val="0"/>
          <w:sz w:val="24"/>
        </w:rPr>
        <w:t>Journal of Anesthesia and Translational Medicine</w:t>
      </w:r>
    </w:p>
    <w:p>
      <w:pPr>
        <w:spacing w:after="120"/>
        <w:jc w:val="left"/>
      </w:pPr>
      <w:r>
        <w:rPr>
          <w:rFonts w:ascii="Times New Roman" w:hAnsi="Times New Roman"/>
          <w:b w:val="0"/>
          <w:i w:val="0"/>
          <w:sz w:val="24"/>
        </w:rPr>
        <w:t>c/o Editorial Office</w:t>
      </w:r>
    </w:p>
    <w:p>
      <w:pPr>
        <w:spacing w:after="120"/>
        <w:jc w:val="left"/>
      </w:pPr>
      <w:r>
        <w:rPr>
          <w:rFonts w:ascii="Times New Roman" w:hAnsi="Times New Roman"/>
          <w:b w:val="0"/>
          <w:i w:val="0"/>
          <w:sz w:val="24"/>
        </w:rPr>
      </w:r>
    </w:p>
    <w:p>
      <w:pPr>
        <w:spacing w:after="120"/>
        <w:jc w:val="left"/>
      </w:pPr>
      <w:r>
        <w:rPr>
          <w:rFonts w:ascii="Times New Roman" w:hAnsi="Times New Roman"/>
          <w:b w:val="0"/>
          <w:i w:val="0"/>
          <w:sz w:val="24"/>
        </w:rPr>
        <w:t>Re: Manuscript JATMED-D-26-00064R1 - Minor Revision</w:t>
      </w:r>
    </w:p>
    <w:p>
      <w:pPr>
        <w:spacing w:after="120"/>
        <w:jc w:val="left"/>
      </w:pPr>
      <w:r>
        <w:rPr>
          <w:rFonts w:ascii="Times New Roman" w:hAnsi="Times New Roman"/>
          <w:b w:val="0"/>
          <w:i w:val="0"/>
          <w:sz w:val="24"/>
        </w:rPr>
        <w:t>Association between the EU desflurane phase-out and secondary market vaporizer prices: an observational time-series analysis</w:t>
      </w:r>
    </w:p>
    <w:p>
      <w:pPr>
        <w:spacing w:after="120"/>
        <w:jc w:val="left"/>
      </w:pPr>
      <w:r>
        <w:rPr>
          <w:rFonts w:ascii="Times New Roman" w:hAnsi="Times New Roman"/>
          <w:b w:val="0"/>
          <w:i w:val="0"/>
          <w:sz w:val="24"/>
        </w:rPr>
      </w:r>
    </w:p>
    <w:p>
      <w:pPr>
        <w:spacing w:after="120"/>
        <w:jc w:val="left"/>
      </w:pPr>
      <w:r>
        <w:rPr>
          <w:rFonts w:ascii="Times New Roman" w:hAnsi="Times New Roman"/>
          <w:b w:val="0"/>
          <w:i w:val="0"/>
          <w:sz w:val="24"/>
        </w:rPr>
        <w:t>Dear Dr. Yang,</w:t>
      </w:r>
    </w:p>
    <w:p>
      <w:pPr>
        <w:spacing w:after="120"/>
        <w:jc w:val="left"/>
      </w:pPr>
      <w:r>
        <w:rPr>
          <w:rFonts w:ascii="Times New Roman" w:hAnsi="Times New Roman"/>
          <w:b w:val="0"/>
          <w:i w:val="0"/>
          <w:sz w:val="24"/>
        </w:rPr>
        <w:t>Thank you for the opportunity to revise our manuscript. We are grateful to the Editor and the two reviewers for their thorough and constructive feedback. We have addressed each of Reviewer 1’s remaining minor concerns and have further softened the causal language throughout the title, abstract, and body text. All numerical results remain derived from the updated analysis scripts and are reproducible from the deposited data.</w:t>
      </w:r>
    </w:p>
    <w:p>
      <w:pPr>
        <w:pStyle w:val="Heading1"/>
      </w:pPr>
      <w:r>
        <w:rPr>
          <w:rFonts w:ascii="Times New Roman" w:hAnsi="Times New Roman"/>
        </w:rPr>
        <w:t>Reviewer 1</w:t>
      </w:r>
    </w:p>
    <w:p>
      <w:pPr>
        <w:pStyle w:val="ListBullet"/>
        <w:spacing w:after="120"/>
        <w:ind w:left="0"/>
      </w:pPr>
      <w:r>
        <w:rPr>
          <w:rFonts w:ascii="Times New Roman" w:hAnsi="Times New Roman"/>
          <w:b/>
          <w:sz w:val="24"/>
        </w:rPr>
        <w:t>1. Title and abstract causal language.</w:t>
      </w:r>
      <w:r>
        <w:rPr>
          <w:rFonts w:ascii="Times New Roman" w:hAnsi="Times New Roman"/>
          <w:sz w:val="24"/>
        </w:rPr>
        <w:t xml:space="preserve"> We agree that the title and abstract still implied a stronger causal claim than the observational design supports. The title has been changed to "Association between the EU desflurane phase-out and secondary market vaporizer prices: an observational time-series analysis." The abstract now states that desflurane prices "were associated with" an agent-specific decline, that the findings are "consistent with, but do not prove" an effect of the EU phase-out, and that they should be interpreted as hypothesis-generating. Similar "associated with" wording has been applied throughout the manuscript.</w:t>
      </w:r>
    </w:p>
    <w:p>
      <w:pPr>
        <w:pStyle w:val="ListBullet"/>
        <w:spacing w:after="120"/>
        <w:ind w:left="0"/>
      </w:pPr>
      <w:r>
        <w:rPr>
          <w:rFonts w:ascii="Times New Roman" w:hAnsi="Times New Roman"/>
          <w:b/>
          <w:sz w:val="24"/>
        </w:rPr>
        <w:t>2. Post-restriction sample size and longer follow-up.</w:t>
      </w:r>
      <w:r>
        <w:rPr>
          <w:rFonts w:ascii="Times New Roman" w:hAnsi="Times New Roman"/>
          <w:sz w:val="24"/>
        </w:rPr>
        <w:t xml:space="preserve"> The post-restriction period contains only 17 desflurane transactions. We have added an explicit statement in the Study design and data source section noting that this constraint reflects Terapeak’s three-year historical window, which ends at the data-extraction date (March 2026). Consequently, the post-restriction observation window is limited to approximately three months after the 1 January 2026 effective date; extending follow-up would require either prospective data collection or a later extraction, neither of which was possible in this retrospective study. This limitation is also reiterated in the Discussion/Limitations section.</w:t>
      </w:r>
    </w:p>
    <w:p>
      <w:pPr>
        <w:pStyle w:val="ListBullet"/>
        <w:spacing w:after="120"/>
        <w:ind w:left="0"/>
      </w:pPr>
      <w:r>
        <w:rPr>
          <w:rFonts w:ascii="Times New Roman" w:hAnsi="Times New Roman"/>
          <w:b/>
          <w:sz w:val="24"/>
        </w:rPr>
        <w:t>3. Interpretation of the DiD null finding.</w:t>
      </w:r>
      <w:r>
        <w:rPr>
          <w:rFonts w:ascii="Times New Roman" w:hAnsi="Times New Roman"/>
          <w:sz w:val="24"/>
        </w:rPr>
        <w:t xml:space="preserve"> We have expanded the Discussion to explicitly interpret the transaction-level difference-in-differences (DiD) result. The desflurane post-restriction coefficient was not significant (log-price coefficient=0.018, P=0.946). This null finding should not be interpreted as evidence that the regulation had no effect. Instead, the DiD parallel-trend assumption was violated (P=0.001 for the pre-restriction trend difference), indicating that desflurane prices were already diverging from the control agents before 1 January 2026. Because the regulation was proposed in 2022 and adopted in 2024, market participants may have anticipated the 2026 effective date; the DiD violation is consistent with a gradual, anticipation-driven decline rather than a discrete post-restriction shock. The DiD and CITS results are therefore presented as sensitivity, not causal, analyses.</w:t>
      </w:r>
    </w:p>
    <w:p>
      <w:pPr>
        <w:pStyle w:val="ListBullet"/>
        <w:spacing w:after="120"/>
        <w:ind w:left="0"/>
      </w:pPr>
      <w:r>
        <w:rPr>
          <w:rFonts w:ascii="Times New Roman" w:hAnsi="Times New Roman"/>
          <w:b/>
          <w:sz w:val="24"/>
        </w:rPr>
        <w:t>4. Multiple testing across trend tests.</w:t>
      </w:r>
      <w:r>
        <w:rPr>
          <w:rFonts w:ascii="Times New Roman" w:hAnsi="Times New Roman"/>
          <w:sz w:val="24"/>
        </w:rPr>
        <w:t xml:space="preserve"> We have added an explicit multiple-testing acknowledgment in the Statistical analysis section and in the Discussion. Because trend tests (Spearman, Kendall τ, and quarterly Spearman) were applied to each of three agent types, the probability of nominally significant P values arising under the null is inflated. No formal family-wise correction was applied; P values were interpreted alongside effect magnitude, direction, and consistency across tests. For isoflurane, both Spearman (ρ=-0.09, P=0.044) and Kendall τ (τ=-0.07, P=0.025) tests reached nominal significance at the transaction level, but the quarterly median trend was not significant and effect sizes were small; these isolated P values are therefore interpreted cautiously and not considered evidence of a true trend. The desflurane finding is supported by consistency across Spearman, Kendall τ, and quarterly median analyses.</w:t>
      </w:r>
    </w:p>
    <w:p>
      <w:pPr>
        <w:pStyle w:val="Heading1"/>
      </w:pPr>
      <w:r>
        <w:rPr>
          <w:rFonts w:ascii="Times New Roman" w:hAnsi="Times New Roman"/>
        </w:rPr>
        <w:t>Reviewer 2</w:t>
      </w:r>
    </w:p>
    <w:p>
      <w:pPr>
        <w:pStyle w:val="ListBullet"/>
        <w:spacing w:after="120"/>
        <w:ind w:left="0"/>
      </w:pPr>
      <w:r>
        <w:rPr>
          <w:rFonts w:ascii="Times New Roman" w:hAnsi="Times New Roman"/>
          <w:b/>
          <w:sz w:val="24"/>
        </w:rPr>
        <w:t>Satisfaction with revisions.</w:t>
      </w:r>
      <w:r>
        <w:rPr>
          <w:rFonts w:ascii="Times New Roman" w:hAnsi="Times New Roman"/>
          <w:sz w:val="24"/>
        </w:rPr>
        <w:t xml:space="preserve"> We thank Reviewer 2 for the positive assessment. The major-revision changes (control-series sensitivity analyses, expanded confounder discussion, softened causal language, and transparent limitations) have been retained and further refined in this minor revision. No additional substantive concerns were raised.</w:t>
      </w:r>
    </w:p>
    <w:p>
      <w:pPr>
        <w:spacing w:after="120"/>
        <w:jc w:val="left"/>
      </w:pPr>
      <w:r>
        <w:rPr>
          <w:rFonts w:ascii="Times New Roman" w:hAnsi="Times New Roman"/>
          <w:b w:val="0"/>
          <w:i w:val="0"/>
          <w:sz w:val="24"/>
        </w:rPr>
      </w:r>
    </w:p>
    <w:p>
      <w:pPr>
        <w:spacing w:after="120"/>
        <w:jc w:val="left"/>
      </w:pPr>
      <w:r>
        <w:rPr>
          <w:rFonts w:ascii="Times New Roman" w:hAnsi="Times New Roman"/>
          <w:b w:val="0"/>
          <w:i w:val="0"/>
          <w:sz w:val="24"/>
        </w:rPr>
        <w:t>We believe these revisions have further strengthened the manuscript’s interpretive caution and transparency. We would be grateful if the revised manuscript could be considered for publication in Journal of Anesthesia and Translational Medicine.</w:t>
      </w:r>
    </w:p>
    <w:p>
      <w:pPr>
        <w:spacing w:after="120"/>
        <w:jc w:val="left"/>
      </w:pPr>
      <w:r>
        <w:rPr>
          <w:rFonts w:ascii="Times New Roman" w:hAnsi="Times New Roman"/>
          <w:b w:val="0"/>
          <w:i w:val="0"/>
          <w:sz w:val="24"/>
        </w:rPr>
      </w:r>
    </w:p>
    <w:p>
      <w:pPr>
        <w:spacing w:after="120"/>
        <w:jc w:val="left"/>
      </w:pPr>
      <w:r>
        <w:rPr>
          <w:rFonts w:ascii="Times New Roman" w:hAnsi="Times New Roman"/>
          <w:b w:val="0"/>
          <w:i w:val="0"/>
          <w:sz w:val="24"/>
        </w:rPr>
        <w:t>Sincerely,</w:t>
      </w:r>
    </w:p>
    <w:p>
      <w:pPr>
        <w:spacing w:after="120"/>
        <w:jc w:val="left"/>
      </w:pPr>
      <w:r>
        <w:rPr>
          <w:rFonts w:ascii="Times New Roman" w:hAnsi="Times New Roman"/>
          <w:b w:val="0"/>
          <w:i w:val="0"/>
          <w:sz w:val="24"/>
        </w:rPr>
        <w:t>[Corresponding author name]</w:t>
      </w:r>
    </w:p>
    <w:p>
      <w:pPr>
        <w:spacing w:after="120"/>
        <w:jc w:val="left"/>
      </w:pPr>
      <w:r>
        <w:rPr>
          <w:rFonts w:ascii="Times New Roman" w:hAnsi="Times New Roman"/>
          <w:b w:val="0"/>
          <w:i w:val="0"/>
          <w:sz w:val="24"/>
        </w:rPr>
        <w:t>[Affiliation]</w:t>
      </w:r>
    </w:p>
    <w:p>
      <w:pPr>
        <w:spacing w:after="120"/>
        <w:jc w:val="left"/>
      </w:pPr>
      <w:r>
        <w:rPr>
          <w:rFonts w:ascii="Times New Roman" w:hAnsi="Times New Roman"/>
          <w:b w:val="0"/>
          <w:i w:val="0"/>
          <w:sz w:val="24"/>
        </w:rPr>
        <w:t>Email: [email]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