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1. Dependence-aware geographic-distance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Neanderthal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Denisovan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Populations / unique pairs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Same pair set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Raw sharing-distance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-0.4971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-0.4617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Descriptive pairwise correlation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Expanded-model partial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-0.3687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-0.3259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 after coarse sensitivity covariates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Distance-only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0.2471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0.2131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Descriptive matrix fit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Expanded descriptive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0.5461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0.5113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Not an independent-pair causal estimate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QAP distance coefficient / 1,000 km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-0.01892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-0.01918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Expanded model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QAP two-sided P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9,999 population-label permutations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Population-deletion interval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-0.02143 to -0.01770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-0.02112 to -0.01775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2.5th-97.5th percentile sensitivity interval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FDR q&lt;0.10 and positive z&gt;2 outliers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All non-admixed pairs tested within ancestry</w:t>
            </w:r>
          </w:p>
        </w:tc>
      </w:tr>
    </w:tbl>
    <w:p>
      <w:pPr>
        <w:spacing w:line="240" w:lineRule="auto"/>
      </w:pPr>
      <w:r>
        <w:rPr>
          <w:sz w:val="18"/>
        </w:rPr>
        <w:t>Note. R-squared and correlation values are descriptive. QAP tests permute population labels on the response matrix. Population-deletion intervals are sensitivity summaries, not independent-sample confidence intervals.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