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/>
      </w:pPr>
      <w:r>
        <w:rPr>
          <w:b/>
        </w:rPr>
        <w:t>Table 2. ABO-window Neanderthal-reference composition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Group</w:t>
            </w:r>
          </w:p>
        </w:tc>
        <w:tc>
          <w:tcPr>
            <w:tcW w:type="dxa" w:w="1337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Segments</w:t>
            </w:r>
          </w:p>
        </w:tc>
        <w:tc>
          <w:tcPr>
            <w:tcW w:type="dxa" w:w="1337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Vindija %</w:t>
            </w:r>
          </w:p>
        </w:tc>
        <w:tc>
          <w:tcPr>
            <w:tcW w:type="dxa" w:w="1337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Altai %</w:t>
            </w:r>
          </w:p>
        </w:tc>
        <w:tc>
          <w:tcPr>
            <w:tcW w:type="dxa" w:w="1337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Chagyrskaya %</w:t>
            </w:r>
          </w:p>
        </w:tc>
        <w:tc>
          <w:tcPr>
            <w:tcW w:type="dxa" w:w="1337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Tie %</w:t>
            </w:r>
          </w:p>
        </w:tc>
        <w:tc>
          <w:tcPr>
            <w:tcW w:type="dxa" w:w="1337"/>
            <w:shd w:fill="D9EAF7"/>
          </w:tcPr>
          <w:p>
            <w:pPr>
              <w:spacing w:line="240" w:lineRule="auto"/>
            </w:pPr>
            <w:r>
              <w:rPr>
                <w:rFonts w:ascii="Arial" w:hAnsi="Arial"/>
                <w:b/>
                <w:sz w:val="17"/>
              </w:rPr>
              <w:t>Strict ABO overlap</w:t>
            </w:r>
          </w:p>
        </w:tc>
      </w:tr>
      <w:tr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Europe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388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33.0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5.2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32.7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29.1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56</w:t>
            </w:r>
          </w:p>
        </w:tc>
      </w:tr>
      <w:tr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Middle East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59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39.0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8.5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27.1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25.4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8</w:t>
            </w:r>
          </w:p>
        </w:tc>
      </w:tr>
      <w:tr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Central/South Asia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140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31.4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6.4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32.1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30.0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31</w:t>
            </w:r>
          </w:p>
        </w:tc>
      </w:tr>
      <w:tr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East Asia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69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1.4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44.9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36.2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17.4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12</w:t>
            </w:r>
          </w:p>
        </w:tc>
      </w:tr>
      <w:tr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Oceania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26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0.0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0.0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50.0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50.0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</w:t>
            </w:r>
          </w:p>
        </w:tc>
      </w:tr>
      <w:tr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Admixed Americas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150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40.0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2.0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23.3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34.7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20</w:t>
            </w:r>
          </w:p>
        </w:tc>
      </w:tr>
      <w:tr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Indigenous Americas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2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100.0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0.0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0.0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0.0</w:t>
            </w:r>
          </w:p>
        </w:tc>
        <w:tc>
          <w:tcPr>
            <w:tcW w:type="dxa" w:w="1337"/>
          </w:tcPr>
          <w:p>
            <w:pPr>
              <w:spacing w:line="240" w:lineRule="auto"/>
            </w:pPr>
            <w:r>
              <w:rPr>
                <w:rFonts w:ascii="Arial" w:hAnsi="Arial"/>
                <w:b w:val="0"/>
                <w:sz w:val="17"/>
              </w:rPr>
              <w:t>1</w:t>
            </w:r>
          </w:p>
        </w:tc>
      </w:tr>
    </w:tbl>
    <w:p>
      <w:pPr>
        <w:spacing w:line="240" w:lineRule="auto"/>
      </w:pPr>
      <w:r>
        <w:rPr>
          <w:sz w:val="18"/>
        </w:rPr>
        <w:t>Note. Counts are segments, not individuals. Equal maximum similarity counts are reported as ties. The Indigenous American row contains two segments, only one of which overlaps ABO.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