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Geographic distance decay in population-level Neanderthal and Denisovan segment profiles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67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Descriptive geographic distance correlations at 250-kb, 500-kb, and 1-Mb window sizes; QAP results are tabulated in Supplementary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5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window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O2-defining allele frequencies and ABO-window segment-carrier frequencies. The panels use different sources and are not an association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23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Ancient North Eurasian contextual hypothesis. Dashed arrows represent a testable narrative, not evidence that either observed segment followed the illustrated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31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ne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9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9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Data Files</w:t>
      </w:r>
    </w:p>
    <w:p>
      <w:r>
        <w:t>Supplementary Data 1: population_metadata.csv. Population, project, sample size, coordinates, continent assignment, and analysis inclusion.</w:t>
      </w:r>
    </w:p>
    <w:p>
      <w:r>
        <w:t>Supplementary Data 2: pairwise_sharing_corrected.csv. Complete pairwise similarity, geographic, covariate, residual, permutation, and FDR results.</w:t>
      </w:r>
    </w:p>
    <w:p>
      <w:r>
        <w:t>Supplementary Data 3: model_summary.csv. QAP coefficients, permutation P values, descriptive R-squared values, and population-deletion intervals.</w:t>
      </w:r>
    </w:p>
    <w:p>
      <w:r>
        <w:t>Supplementary Data 4: sensitivity_analysis.csv and window_size_sensitivity.csv. Metric, population-subset, and window-size robustness summaries.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