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"Litigation risk and physician specialty supply: a Japanese test of behavioural risk perception",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 -- specialty maldistribution -- as a policy test case and asks whether a salient, cognitively available risk (malpractice litigation) actually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lever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 -- size confounding in raw administrative counts and interpolation of sparse panel data -- can distort the evidence base for a behavioural policy lever.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(https://github.com/bougtoir/medical-accident-its-analysis).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