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Introduction: </w:t>
      </w:r>
      <w:r>
        <w:rPr>
          <w:rFonts w:ascii="Times New Roman" w:hAnsi="Times New Roman"/>
          <w:b w:val="0"/>
          <w:i w:val="0"/>
          <w:sz w:val="24"/>
        </w:rPr>
        <w:t>Medical safety incidents may deter physicians from high-risk specialties, yet the temporal dynamics of this relationship remain poorly quantified. In Japan, physician workforce maldistribution has intensified amid the 2024 work-style reform, yet the temporal relationship between safety incidents and specialty-specific workforce supply has not been formally tested.</w:t>
      </w:r>
    </w:p>
    <w:p>
      <w:pPr>
        <w:spacing w:line="480" w:lineRule="auto" w:after="120"/>
      </w:pPr>
      <w:r>
        <w:rPr>
          <w:rFonts w:ascii="Times New Roman" w:hAnsi="Times New Roman"/>
          <w:b/>
          <w:sz w:val="24"/>
        </w:rPr>
        <w:t xml:space="preserve">Methods: </w:t>
      </w:r>
      <w:r>
        <w:rPr>
          <w:rFonts w:ascii="Times New Roman" w:hAnsi="Times New Roman"/>
          <w:b w:val="0"/>
          <w:i w:val="0"/>
          <w:sz w:val="24"/>
        </w:rPr>
        <w:t>We constructed bivariate vector autoregression (VAR) models for 12 specialties using two national incident series—mandatory safety reports (2015–2025) and malpractice litigation statistics (2004–2023)—paired with physician and facility counts from national surveys. Granger causality F-tests, impulse response functions, and VAR-based forecasts were computed.</w:t>
      </w:r>
    </w:p>
    <w:p>
      <w:pPr>
        <w:spacing w:line="480" w:lineRule="auto" w:after="120"/>
      </w:pPr>
      <w:r>
        <w:rPr>
          <w:rFonts w:ascii="Times New Roman" w:hAnsi="Times New Roman"/>
          <w:b/>
          <w:sz w:val="24"/>
        </w:rPr>
        <w:t xml:space="preserve">Results: </w:t>
      </w:r>
      <w:r>
        <w:rPr>
          <w:rFonts w:ascii="Times New Roman" w:hAnsi="Times New Roman"/>
          <w:b w:val="0"/>
          <w:i w:val="0"/>
          <w:sz w:val="24"/>
        </w:rPr>
        <w:t>Of 47 VAR models, 20 showed significant forward Granger causality (incidents → workforce; P &lt; 0.05). Obstetrics and gynaecology exhibited the strongest association (F = 46.66, P &lt; 0.001). Bidirectional causality was observed in 7 specialty–outcome pairs. Impulse response functions indicated that a litigation shock reduced physician supply for 3–5 years. General surgery physicians are projected to decline by approximately 230 per year through 2033.</w:t>
      </w:r>
    </w:p>
    <w:p>
      <w:pPr>
        <w:spacing w:line="480" w:lineRule="auto" w:after="120"/>
      </w:pPr>
      <w:r>
        <w:rPr>
          <w:rFonts w:ascii="Times New Roman" w:hAnsi="Times New Roman"/>
          <w:b/>
          <w:sz w:val="24"/>
        </w:rPr>
        <w:t xml:space="preserve">Conclusions: </w:t>
      </w:r>
      <w:r>
        <w:rPr>
          <w:rFonts w:ascii="Times New Roman" w:hAnsi="Times New Roman"/>
          <w:b w:val="0"/>
          <w:i w:val="0"/>
          <w:sz w:val="24"/>
        </w:rPr>
        <w:t>Medical safety incidents Granger-cause reductions in physician supply across most specialties, with effects lasting 3–5 years. Combined with work-style reform constraints, these findings highlight an accelerating workforce crisis requiring integrated policy responses.</w:t>
      </w:r>
    </w:p>
    <w:p>
      <w:pPr>
        <w:spacing w:after="360" w:line="480" w:lineRule="auto"/>
      </w:pPr>
      <w:r>
        <w:rPr>
          <w:rFonts w:ascii="Times New Roman" w:hAnsi="Times New Roman"/>
          <w:b w:val="0"/>
          <w:i/>
          <w:sz w:val="24"/>
        </w:rPr>
        <w:t>Key words: physician workforce, Granger causality, medical safety incidents, specialty maldistribution, work-style reform, Japan</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Japan’s healthcare system faces a deepening crisis of physician workforce maldistribution across specialties and geographic regions.</w:t>
      </w:r>
      <w:r>
        <w:rPr>
          <w:rFonts w:ascii="Times New Roman" w:hAnsi="Times New Roman"/>
          <w:b w:val="0"/>
          <w:i w:val="0"/>
          <w:sz w:val="20"/>
          <w:vertAlign w:val="superscript"/>
        </w:rPr>
        <w:t>1,2</w:t>
      </w:r>
      <w:r>
        <w:rPr>
          <w:rFonts w:ascii="Times New Roman" w:hAnsi="Times New Roman"/>
          <w:b w:val="0"/>
          <w:i w:val="0"/>
          <w:sz w:val="24"/>
        </w:rPr>
        <w:t xml:space="preserve"> While the total number of physicians has grown steadily, reaching approximately 340,000 in 2022, this aggregate growth masks critical shortages in essential specialties such as general surgery, obstetrics, emergency medicine, and paediatrics.</w:t>
      </w:r>
      <w:r>
        <w:rPr>
          <w:rFonts w:ascii="Times New Roman" w:hAnsi="Times New Roman"/>
          <w:b w:val="0"/>
          <w:i w:val="0"/>
          <w:sz w:val="20"/>
          <w:vertAlign w:val="superscript"/>
        </w:rPr>
        <w:t>3,4</w:t>
      </w:r>
    </w:p>
    <w:p>
      <w:pPr>
        <w:spacing w:after="120" w:line="480" w:lineRule="auto"/>
      </w:pPr>
      <w:r>
        <w:rPr>
          <w:rFonts w:ascii="Times New Roman" w:hAnsi="Times New Roman"/>
          <w:b w:val="0"/>
          <w:i w:val="0"/>
          <w:sz w:val="24"/>
        </w:rPr>
        <w:t>In parallel, the April 2024 implementation of physician work-style reform (time-based overtime caps of 960 hours annually) has restricted "gaikin" (moonlighting opportunities) that previously supplemented income in lower-paying hospital posts.</w:t>
      </w:r>
      <w:r>
        <w:rPr>
          <w:rFonts w:ascii="Times New Roman" w:hAnsi="Times New Roman"/>
          <w:b w:val="0"/>
          <w:i w:val="0"/>
          <w:sz w:val="20"/>
          <w:vertAlign w:val="superscript"/>
        </w:rPr>
        <w:t>5,6</w:t>
      </w:r>
      <w:r>
        <w:rPr>
          <w:rFonts w:ascii="Times New Roman" w:hAnsi="Times New Roman"/>
          <w:b w:val="0"/>
          <w:i w:val="0"/>
          <w:sz w:val="24"/>
        </w:rPr>
        <w:t xml:space="preserve"> These regulatory changes may interact with safety-incident-driven workforce dynamics, yet existing evidence is limited to single-event, single-specialty case studies.</w:t>
      </w:r>
    </w:p>
    <w:p>
      <w:pPr>
        <w:spacing w:after="120" w:line="480" w:lineRule="auto"/>
      </w:pPr>
      <w:r>
        <w:rPr>
          <w:rFonts w:ascii="Times New Roman" w:hAnsi="Times New Roman"/>
          <w:b w:val="0"/>
          <w:i w:val="0"/>
          <w:sz w:val="24"/>
        </w:rPr>
        <w:t>The role of medical safety incidents as a push factor driving physicians away from high-risk specialties has been discussed since the landmark 2004 Fukushima obstetrics prosecution, in which an obstetrician was arrested following a maternal death during caesarean section.</w:t>
      </w:r>
      <w:r>
        <w:rPr>
          <w:rFonts w:ascii="Times New Roman" w:hAnsi="Times New Roman"/>
          <w:b w:val="0"/>
          <w:i w:val="0"/>
          <w:sz w:val="20"/>
          <w:vertAlign w:val="superscript"/>
        </w:rPr>
        <w:t>7,8</w:t>
      </w:r>
      <w:r>
        <w:rPr>
          <w:rFonts w:ascii="Times New Roman" w:hAnsi="Times New Roman"/>
          <w:b w:val="0"/>
          <w:i w:val="0"/>
          <w:sz w:val="24"/>
        </w:rPr>
        <w:t xml:space="preserve"> Morita estimated a 13% decrease in obstetricians in the affected prefecture using difference-in-differences analysis.</w:t>
      </w:r>
      <w:r>
        <w:rPr>
          <w:rFonts w:ascii="Times New Roman" w:hAnsi="Times New Roman"/>
          <w:b w:val="0"/>
          <w:i w:val="0"/>
          <w:sz w:val="20"/>
          <w:vertAlign w:val="superscript"/>
        </w:rPr>
        <w:t>9</w:t>
      </w:r>
      <w:r>
        <w:rPr>
          <w:rFonts w:ascii="Times New Roman" w:hAnsi="Times New Roman"/>
          <w:b w:val="0"/>
          <w:i w:val="0"/>
          <w:sz w:val="24"/>
        </w:rPr>
        <w:t xml:space="preserve"> However, this analysis was limited to a single event, specialty, and geographic area. Broader evidence linking incident trends to workforce dynamics across multiple specialties remains scarce.</w:t>
      </w:r>
    </w:p>
    <w:p>
      <w:pPr>
        <w:spacing w:after="120" w:line="480" w:lineRule="auto"/>
      </w:pPr>
      <w:r>
        <w:rPr>
          <w:rFonts w:ascii="Times New Roman" w:hAnsi="Times New Roman"/>
          <w:b w:val="0"/>
          <w:i w:val="0"/>
          <w:sz w:val="24"/>
        </w:rPr>
        <w:t>Japan possesses two complementary national data sources on medical safety incidents: the Japan Medical Safety Research Organisation (JMSR) mandatory reporting system established in 2015,</w:t>
      </w:r>
      <w:r>
        <w:rPr>
          <w:rFonts w:ascii="Times New Roman" w:hAnsi="Times New Roman"/>
          <w:b w:val="0"/>
          <w:i w:val="0"/>
          <w:sz w:val="20"/>
          <w:vertAlign w:val="superscript"/>
        </w:rPr>
        <w:t>10</w:t>
      </w:r>
      <w:r>
        <w:rPr>
          <w:rFonts w:ascii="Times New Roman" w:hAnsi="Times New Roman"/>
          <w:b w:val="0"/>
          <w:i w:val="0"/>
          <w:sz w:val="24"/>
        </w:rPr>
        <w:t xml:space="preserve"> and the Supreme Court annual statistics on medical malpractice litigation by specialty.</w:t>
      </w:r>
      <w:r>
        <w:rPr>
          <w:rFonts w:ascii="Times New Roman" w:hAnsi="Times New Roman"/>
          <w:b w:val="0"/>
          <w:i w:val="0"/>
          <w:sz w:val="20"/>
          <w:vertAlign w:val="superscript"/>
        </w:rPr>
        <w:t>11,12</w:t>
      </w:r>
      <w:r>
        <w:rPr>
          <w:rFonts w:ascii="Times New Roman" w:hAnsi="Times New Roman"/>
          <w:b w:val="0"/>
          <w:i w:val="0"/>
          <w:sz w:val="24"/>
        </w:rPr>
        <w:t xml:space="preserve"> Combined with biennial national physician surveys and annual facility registrations, these data enable a systematic, multi-specialty analysis.</w:t>
      </w:r>
    </w:p>
    <w:p>
      <w:pPr>
        <w:spacing w:after="120" w:line="480" w:lineRule="auto"/>
      </w:pPr>
      <w:r>
        <w:rPr>
          <w:rFonts w:ascii="Times New Roman" w:hAnsi="Times New Roman"/>
          <w:b w:val="0"/>
          <w:i w:val="0"/>
          <w:sz w:val="24"/>
        </w:rPr>
        <w:t>We applied vector autoregression (VAR) models and Granger causality tests—methods widely used in econometrics and increasingly in health policy research</w:t>
      </w:r>
      <w:r>
        <w:rPr>
          <w:rFonts w:ascii="Times New Roman" w:hAnsi="Times New Roman"/>
          <w:b w:val="0"/>
          <w:i w:val="0"/>
          <w:sz w:val="20"/>
          <w:vertAlign w:val="superscript"/>
        </w:rPr>
        <w:t>13–15</w:t>
      </w:r>
      <w:r>
        <w:rPr>
          <w:rFonts w:ascii="Times New Roman" w:hAnsi="Times New Roman"/>
          <w:b w:val="0"/>
          <w:i w:val="0"/>
          <w:sz w:val="24"/>
        </w:rPr>
        <w:t>—to formally test whether medical safety incidents temporally precede and predict changes in specialty-specific physician and facility counts.</w:t>
      </w:r>
    </w:p>
    <w:p>
      <w:r>
        <w:br w:type="page"/>
      </w:r>
    </w:p>
    <w:p>
      <w:pPr>
        <w:pStyle w:val="Heading1"/>
      </w:pPr>
      <w:r>
        <w:rPr>
          <w:rFonts w:ascii="Times New Roman" w:hAnsi="Times New Roman"/>
          <w:color w:val="000000"/>
        </w:rPr>
        <w:t>Materials and Methods</w:t>
      </w:r>
    </w:p>
    <w:p>
      <w:pPr>
        <w:pStyle w:val="Heading2"/>
      </w:pPr>
      <w:r>
        <w:rPr>
          <w:rFonts w:ascii="Times New Roman" w:hAnsi="Times New Roman"/>
          <w:color w:val="000000"/>
        </w:rPr>
        <w:t>Study design</w:t>
      </w:r>
    </w:p>
    <w:p>
      <w:pPr>
        <w:spacing w:after="120" w:line="480" w:lineRule="auto"/>
      </w:pPr>
      <w:r>
        <w:rPr>
          <w:rFonts w:ascii="Times New Roman" w:hAnsi="Times New Roman"/>
          <w:b w:val="0"/>
          <w:i w:val="0"/>
          <w:sz w:val="24"/>
        </w:rPr>
        <w:t>We conducted a secondary analysis of routinely collected national administrative data from Japan using bivariate VAR models and Granger causality tests. This study is reported in accordance with the RECORD (REporting of studies Conducted using Observational Routinely-collected health Data) statement.</w:t>
      </w:r>
      <w:r>
        <w:rPr>
          <w:rFonts w:ascii="Times New Roman" w:hAnsi="Times New Roman"/>
          <w:b w:val="0"/>
          <w:i w:val="0"/>
          <w:sz w:val="20"/>
          <w:vertAlign w:val="superscript"/>
        </w:rPr>
        <w:t>16</w:t>
      </w:r>
    </w:p>
    <w:p>
      <w:pPr>
        <w:pStyle w:val="Heading2"/>
      </w:pPr>
      <w:r>
        <w:rPr>
          <w:rFonts w:ascii="Times New Roman" w:hAnsi="Times New Roman"/>
          <w:color w:val="000000"/>
        </w:rPr>
        <w:t>Data sources</w:t>
      </w:r>
    </w:p>
    <w:p>
      <w:pPr>
        <w:spacing w:after="120" w:line="480" w:lineRule="auto"/>
      </w:pPr>
      <w:r>
        <w:rPr>
          <w:rFonts w:ascii="Times New Roman" w:hAnsi="Times New Roman"/>
          <w:b w:val="0"/>
          <w:i w:val="0"/>
          <w:sz w:val="24"/>
        </w:rPr>
        <w:t>Medical safety incident data were obtained from two sources. Definition 1 (JMSR): annual specialty-specific incident reports to the Japan Medical Safety Research Organisation for fiscal years 2015–2025 (11 annual observations).</w:t>
      </w:r>
      <w:r>
        <w:rPr>
          <w:rFonts w:ascii="Times New Roman" w:hAnsi="Times New Roman"/>
          <w:b w:val="0"/>
          <w:i w:val="0"/>
          <w:sz w:val="20"/>
          <w:vertAlign w:val="superscript"/>
        </w:rPr>
        <w:t>10</w:t>
      </w:r>
      <w:r>
        <w:rPr>
          <w:rFonts w:ascii="Times New Roman" w:hAnsi="Times New Roman"/>
          <w:b w:val="0"/>
          <w:i w:val="0"/>
          <w:sz w:val="24"/>
        </w:rPr>
        <w:t xml:space="preserve"> Definition 2 (litigation): annual specialty-specific medical malpractice closed-claim counts from the Supreme Court of Japan for 2004–2023 (20 annual observations).</w:t>
      </w:r>
      <w:r>
        <w:rPr>
          <w:rFonts w:ascii="Times New Roman" w:hAnsi="Times New Roman"/>
          <w:b w:val="0"/>
          <w:i w:val="0"/>
          <w:sz w:val="20"/>
          <w:vertAlign w:val="superscript"/>
        </w:rPr>
        <w:t>11</w:t>
      </w:r>
    </w:p>
    <w:p>
      <w:pPr>
        <w:spacing w:after="120" w:line="480" w:lineRule="auto"/>
      </w:pPr>
      <w:r>
        <w:rPr>
          <w:rFonts w:ascii="Times New Roman" w:hAnsi="Times New Roman"/>
          <w:b w:val="0"/>
          <w:i w:val="0"/>
          <w:sz w:val="24"/>
        </w:rPr>
        <w:t>Specialty-specific physician counts were obtained from the Survey of Physicians, Dentists, and Pharmacists (biennial, 2002–2024; annual values by linear interpolation).</w:t>
      </w:r>
      <w:r>
        <w:rPr>
          <w:rFonts w:ascii="Times New Roman" w:hAnsi="Times New Roman"/>
          <w:b w:val="0"/>
          <w:i w:val="0"/>
          <w:sz w:val="20"/>
          <w:vertAlign w:val="superscript"/>
        </w:rPr>
        <w:t>17</w:t>
      </w:r>
      <w:r>
        <w:rPr>
          <w:rFonts w:ascii="Times New Roman" w:hAnsi="Times New Roman"/>
          <w:b w:val="0"/>
          <w:i w:val="0"/>
          <w:sz w:val="24"/>
        </w:rPr>
        <w:t xml:space="preserve"> Facility counts were obtained from the Survey of Medical Institutions (2005–2024).</w:t>
      </w:r>
      <w:r>
        <w:rPr>
          <w:rFonts w:ascii="Times New Roman" w:hAnsi="Times New Roman"/>
          <w:b w:val="0"/>
          <w:i w:val="0"/>
          <w:sz w:val="20"/>
          <w:vertAlign w:val="superscript"/>
        </w:rPr>
        <w:t>18</w:t>
      </w:r>
      <w:r>
        <w:rPr>
          <w:rFonts w:ascii="Times New Roman" w:hAnsi="Times New Roman"/>
          <w:b w:val="0"/>
          <w:i w:val="0"/>
          <w:sz w:val="24"/>
        </w:rPr>
        <w:t xml:space="preserve"> Specialist trainee enrolment data were obtained from the Japan Board of Medical Specialties (2018–2025).</w:t>
      </w:r>
      <w:r>
        <w:rPr>
          <w:rFonts w:ascii="Times New Roman" w:hAnsi="Times New Roman"/>
          <w:b w:val="0"/>
          <w:i w:val="0"/>
          <w:sz w:val="20"/>
          <w:vertAlign w:val="superscript"/>
        </w:rPr>
        <w:t>19</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general surgery, orthopaedic surgery, plastic surgery, obstetrics and gynaecology, paediatrics, psychiatry, ophthalmology, otolaryngology, urology, dermatology, and anaesthesiology.</w:t>
      </w:r>
    </w:p>
    <w:p>
      <w:pPr>
        <w:pStyle w:val="Heading2"/>
      </w:pPr>
      <w:r>
        <w:rPr>
          <w:rFonts w:ascii="Times New Roman" w:hAnsi="Times New Roman"/>
          <w:color w:val="000000"/>
        </w:rPr>
        <w:t>Statistical analysis</w:t>
      </w:r>
    </w:p>
    <w:p>
      <w:pPr>
        <w:spacing w:after="120" w:line="480" w:lineRule="auto"/>
      </w:pPr>
      <w:r>
        <w:rPr>
          <w:rFonts w:ascii="Times New Roman" w:hAnsi="Times New Roman"/>
          <w:b w:val="0"/>
          <w:i w:val="0"/>
          <w:sz w:val="24"/>
        </w:rPr>
        <w:t>Stationarity was assessed using augmented Dickey–Fuller (ADF) tests. Non-stationary pairs were first-differenced. For each specialty–definition–outcome combination, a bivariate VAR model was fitted with lag order selected by minimising the Akaike information criterion (AIC), capped at min(4, n/3 − 1).</w:t>
      </w:r>
    </w:p>
    <w:p>
      <w:pPr>
        <w:spacing w:after="120" w:line="480" w:lineRule="auto"/>
      </w:pPr>
      <w:r>
        <w:rPr>
          <w:rFonts w:ascii="Times New Roman" w:hAnsi="Times New Roman"/>
          <w:b w:val="0"/>
          <w:i w:val="0"/>
          <w:sz w:val="24"/>
        </w:rPr>
        <w:t>Granger causality was tested in both directions using F-tests on lagged coefficients.</w:t>
      </w:r>
      <w:r>
        <w:rPr>
          <w:rFonts w:ascii="Times New Roman" w:hAnsi="Times New Roman"/>
          <w:b w:val="0"/>
          <w:i w:val="0"/>
          <w:sz w:val="20"/>
          <w:vertAlign w:val="superscript"/>
        </w:rPr>
        <w:t>20</w:t>
      </w:r>
      <w:r>
        <w:rPr>
          <w:rFonts w:ascii="Times New Roman" w:hAnsi="Times New Roman"/>
          <w:b w:val="0"/>
          <w:i w:val="0"/>
          <w:sz w:val="24"/>
        </w:rPr>
        <w:t xml:space="preserve"> The null hypothesis for the forward test is that lagged incident counts do not improve prediction of the workforce outcome. Significance was set at P &lt; 0.05.</w:t>
      </w:r>
    </w:p>
    <w:p>
      <w:pPr>
        <w:spacing w:after="120" w:line="480" w:lineRule="auto"/>
      </w:pPr>
      <w:r>
        <w:rPr>
          <w:rFonts w:ascii="Times New Roman" w:hAnsi="Times New Roman"/>
          <w:b w:val="0"/>
          <w:i w:val="0"/>
          <w:sz w:val="24"/>
        </w:rPr>
        <w:t>Impulse response functions (IRFs) were computed over a 10-year horizon to estimate the magnitude and duration of workforce effects following a one-unit incident shock.</w:t>
      </w:r>
      <w:r>
        <w:rPr>
          <w:rFonts w:ascii="Times New Roman" w:hAnsi="Times New Roman"/>
          <w:b w:val="0"/>
          <w:i w:val="0"/>
          <w:sz w:val="20"/>
          <w:vertAlign w:val="superscript"/>
        </w:rPr>
        <w:t>21</w:t>
      </w:r>
      <w:r>
        <w:rPr>
          <w:rFonts w:ascii="Times New Roman" w:hAnsi="Times New Roman"/>
          <w:b w:val="0"/>
          <w:i w:val="0"/>
          <w:sz w:val="24"/>
        </w:rPr>
        <w:t xml:space="preserve"> VAR-based forecasts with 95% intervals were generated for 2024–2033 using litigation-based models.</w:t>
      </w:r>
    </w:p>
    <w:p>
      <w:pPr>
        <w:spacing w:after="120" w:line="480" w:lineRule="auto"/>
      </w:pPr>
      <w:r>
        <w:rPr>
          <w:rFonts w:ascii="Times New Roman" w:hAnsi="Times New Roman"/>
          <w:b w:val="0"/>
          <w:i w:val="0"/>
          <w:sz w:val="24"/>
        </w:rPr>
        <w:t>For specialist trainees (8 years), detrended Pearson correlations between JMSR incidents and enrolment were computed. All analyses used Python 3.10 with statsmodels 0.14.</w:t>
      </w:r>
      <w:r>
        <w:rPr>
          <w:rFonts w:ascii="Times New Roman" w:hAnsi="Times New Roman"/>
          <w:b w:val="0"/>
          <w:i w:val="0"/>
          <w:sz w:val="20"/>
          <w:vertAlign w:val="superscript"/>
        </w:rPr>
        <w:t>22</w:t>
      </w:r>
      <w:r>
        <w:rPr>
          <w:rFonts w:ascii="Times New Roman" w:hAnsi="Times New Roman"/>
          <w:b w:val="0"/>
          <w:i w:val="0"/>
          <w:sz w:val="24"/>
        </w:rPr>
        <w:t xml:space="preserve"> Code and data are available at https://github.com/bougtoir/medical-accident-its-analysis.</w:t>
      </w:r>
    </w:p>
    <w:p>
      <w:pPr>
        <w:pStyle w:val="Heading2"/>
      </w:pPr>
      <w:r>
        <w:rPr>
          <w:rFonts w:ascii="Times New Roman" w:hAnsi="Times New Roman"/>
          <w:color w:val="000000"/>
        </w:rPr>
        <w:t>Ethical considerations</w:t>
      </w:r>
    </w:p>
    <w:p>
      <w:pPr>
        <w:spacing w:after="120" w:line="480" w:lineRule="auto"/>
      </w:pPr>
      <w:r>
        <w:rPr>
          <w:rFonts w:ascii="Times New Roman" w:hAnsi="Times New Roman"/>
          <w:b w:val="0"/>
          <w:i w:val="0"/>
          <w:sz w:val="24"/>
        </w:rPr>
        <w:t>This study used publicly available, anonymised, aggregate-level administrative data. No individual-level data were accessed. Ethical approval was not required per institutional guidelines.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Between 2015 and 2025, the JMSR received 3,860 reports across the 12 specialties, with general surgery (n = 520), internal medicine (n = 479), and orthopaedic surgery (n = 310) recording the highest volumes. Medical malpractice litigation declined from 1,139 cases in 2004 to 746 in 2023 overall, although trends varied substantially by specialty (Figure 1).</w:t>
      </w:r>
    </w:p>
    <w:p>
      <w:pPr>
        <w:spacing w:before="240" w:after="120" w:line="480" w:lineRule="auto"/>
      </w:pPr>
      <w:r>
        <w:rPr>
          <w:rFonts w:ascii="Times New Roman" w:hAnsi="Times New Roman"/>
          <w:b/>
          <w:sz w:val="20"/>
        </w:rPr>
        <w:t>Figure 1. Trends in medical safety incident counts by specialty.</w:t>
      </w:r>
    </w:p>
    <w:p>
      <w:pPr>
        <w:jc w:val="center"/>
      </w:pPr>
      <w:r>
        <w:drawing>
          <wp:inline xmlns:a="http://schemas.openxmlformats.org/drawingml/2006/main" xmlns:pic="http://schemas.openxmlformats.org/drawingml/2006/picture">
            <wp:extent cx="5029200" cy="5543311"/>
            <wp:docPr id="1" name="Picture 1"/>
            <wp:cNvGraphicFramePr>
              <a:graphicFrameLocks noChangeAspect="1"/>
            </wp:cNvGraphicFramePr>
            <a:graphic>
              <a:graphicData uri="http://schemas.openxmlformats.org/drawingml/2006/picture">
                <pic:pic>
                  <pic:nvPicPr>
                    <pic:cNvPr id="0" name="fig4_accident_trends.png"/>
                    <pic:cNvPicPr/>
                  </pic:nvPicPr>
                  <pic:blipFill>
                    <a:blip r:embed="rId9"/>
                    <a:stretch>
                      <a:fillRect/>
                    </a:stretch>
                  </pic:blipFill>
                  <pic:spPr>
                    <a:xfrm>
                      <a:off x="0" y="0"/>
                      <a:ext cx="5029200" cy="5543311"/>
                    </a:xfrm>
                    <a:prstGeom prst="rect"/>
                  </pic:spPr>
                </pic:pic>
              </a:graphicData>
            </a:graphic>
          </wp:inline>
        </w:drawing>
      </w:r>
    </w:p>
    <w:p/>
    <w:p>
      <w:pPr>
        <w:pStyle w:val="Heading2"/>
      </w:pPr>
      <w:r>
        <w:rPr>
          <w:rFonts w:ascii="Times New Roman" w:hAnsi="Times New Roman"/>
          <w:color w:val="000000"/>
        </w:rPr>
        <w:t>Granger causality tests</w:t>
      </w:r>
    </w:p>
    <w:p>
      <w:pPr>
        <w:spacing w:after="120" w:line="480" w:lineRule="auto"/>
      </w:pPr>
      <w:r>
        <w:rPr>
          <w:rFonts w:ascii="Times New Roman" w:hAnsi="Times New Roman"/>
          <w:b w:val="0"/>
          <w:i w:val="0"/>
          <w:sz w:val="24"/>
        </w:rPr>
        <w:t>A total of 47 bivariate VAR models were fitted. Table 1 presents the litigation-based Granger causality results. Of 24 tests (12 specialties × 2 outcomes), 18 showed significant forward Granger causality (incidents → workforce, P &lt; 0.05). The strongest forward associations were obstetrics and gynaecology (physicians: F = 46.66, P &lt; 0.001), psychiatry (physicians: F = 20.89, P &lt; 0.001), and anaesthesiology (facilities: F = 20.34, P &lt; 0.001).</w:t>
      </w:r>
    </w:p>
    <w:p>
      <w:pPr>
        <w:spacing w:after="120" w:before="240" w:line="480" w:lineRule="auto"/>
      </w:pPr>
      <w:r>
        <w:rPr>
          <w:rFonts w:ascii="Times New Roman" w:hAnsi="Times New Roman"/>
          <w:b/>
          <w:sz w:val="20"/>
        </w:rPr>
        <w:t>Table 1. Granger causality test results (litigation data, 12 specialties × 2 outcomes). Forward: incidents → workforce; Reverse: workforce → incidents.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20.34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1.81</w:t>
            </w:r>
          </w:p>
        </w:tc>
        <w:tc>
          <w:tcPr>
            <w:tcW w:type="dxa" w:w="1170"/>
          </w:tcPr>
          <w:p>
            <w:pPr>
              <w:jc w:val="center"/>
            </w:pPr>
            <w:r/>
            <w:r>
              <w:rPr>
                <w:rFonts w:ascii="Times New Roman" w:hAnsi="Times New Roman"/>
                <w:sz w:val="18"/>
              </w:rPr>
              <w:t>0.1984</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0.97</w:t>
            </w:r>
          </w:p>
        </w:tc>
        <w:tc>
          <w:tcPr>
            <w:tcW w:type="dxa" w:w="1170"/>
          </w:tcPr>
          <w:p>
            <w:pPr>
              <w:jc w:val="center"/>
            </w:pPr>
            <w:r/>
            <w:r>
              <w:rPr>
                <w:rFonts w:ascii="Times New Roman" w:hAnsi="Times New Roman"/>
                <w:sz w:val="18"/>
              </w:rPr>
              <w:t>0.3395</w:t>
            </w:r>
          </w:p>
        </w:tc>
        <w:tc>
          <w:tcPr>
            <w:tcW w:type="dxa" w:w="1170"/>
          </w:tcPr>
          <w:p>
            <w:pPr>
              <w:jc w:val="center"/>
            </w:pPr>
            <w:r/>
            <w:r>
              <w:rPr>
                <w:rFonts w:ascii="Times New Roman" w:hAnsi="Times New Roman"/>
                <w:sz w:val="18"/>
              </w:rPr>
              <w:t>1.69</w:t>
            </w:r>
          </w:p>
        </w:tc>
        <w:tc>
          <w:tcPr>
            <w:tcW w:type="dxa" w:w="1170"/>
          </w:tcPr>
          <w:p>
            <w:pPr>
              <w:jc w:val="center"/>
            </w:pPr>
            <w:r/>
            <w:r>
              <w:rPr>
                <w:rFonts w:ascii="Times New Roman" w:hAnsi="Times New Roman"/>
                <w:sz w:val="18"/>
              </w:rPr>
              <w:t>0.2117</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4.11</w:t>
            </w:r>
          </w:p>
        </w:tc>
        <w:tc>
          <w:tcPr>
            <w:tcW w:type="dxa" w:w="1170"/>
          </w:tcPr>
          <w:p>
            <w:pPr>
              <w:jc w:val="center"/>
            </w:pPr>
            <w:r/>
            <w:r>
              <w:rPr>
                <w:rFonts w:ascii="Times New Roman" w:hAnsi="Times New Roman"/>
                <w:sz w:val="18"/>
              </w:rPr>
              <w:t>0.0436*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9.33</w:t>
            </w:r>
          </w:p>
        </w:tc>
        <w:tc>
          <w:tcPr>
            <w:tcW w:type="dxa" w:w="1170"/>
          </w:tcPr>
          <w:p>
            <w:pPr>
              <w:jc w:val="center"/>
            </w:pPr>
            <w:r/>
            <w:r>
              <w:rPr>
                <w:rFonts w:ascii="Times New Roman" w:hAnsi="Times New Roman"/>
                <w:sz w:val="18"/>
              </w:rPr>
              <w:t>0.0076*</w:t>
            </w:r>
          </w:p>
        </w:tc>
        <w:tc>
          <w:tcPr>
            <w:tcW w:type="dxa" w:w="1170"/>
          </w:tcPr>
          <w:p>
            <w:pPr>
              <w:jc w:val="center"/>
            </w:pPr>
            <w:r/>
            <w:r>
              <w:rPr>
                <w:rFonts w:ascii="Times New Roman" w:hAnsi="Times New Roman"/>
                <w:sz w:val="18"/>
              </w:rPr>
              <w:t>4.20</w:t>
            </w:r>
          </w:p>
        </w:tc>
        <w:tc>
          <w:tcPr>
            <w:tcW w:type="dxa" w:w="1170"/>
          </w:tcPr>
          <w:p>
            <w:pPr>
              <w:jc w:val="center"/>
            </w:pPr>
            <w:r/>
            <w:r>
              <w:rPr>
                <w:rFonts w:ascii="Times New Roman" w:hAnsi="Times New Roman"/>
                <w:sz w:val="18"/>
              </w:rPr>
              <w:t>0.0571</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18.03</w:t>
            </w:r>
          </w:p>
        </w:tc>
        <w:tc>
          <w:tcPr>
            <w:tcW w:type="dxa" w:w="1170"/>
          </w:tcPr>
          <w:p>
            <w:pPr>
              <w:jc w:val="center"/>
            </w:pPr>
            <w:r/>
            <w:r>
              <w:rPr>
                <w:rFonts w:ascii="Times New Roman" w:hAnsi="Times New Roman"/>
                <w:sz w:val="18"/>
              </w:rPr>
              <w:t>0.0007*</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0.2406</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7.77</w:t>
            </w:r>
          </w:p>
        </w:tc>
        <w:tc>
          <w:tcPr>
            <w:tcW w:type="dxa" w:w="1170"/>
          </w:tcPr>
          <w:p>
            <w:pPr>
              <w:jc w:val="center"/>
            </w:pPr>
            <w:r/>
            <w:r>
              <w:rPr>
                <w:rFonts w:ascii="Times New Roman" w:hAnsi="Times New Roman"/>
                <w:sz w:val="18"/>
              </w:rPr>
              <w:t>0.0060*</w:t>
            </w:r>
          </w:p>
        </w:tc>
        <w:tc>
          <w:tcPr>
            <w:tcW w:type="dxa" w:w="1170"/>
          </w:tcPr>
          <w:p>
            <w:pPr>
              <w:jc w:val="center"/>
            </w:pPr>
            <w:r/>
            <w:r>
              <w:rPr>
                <w:rFonts w:ascii="Times New Roman" w:hAnsi="Times New Roman"/>
                <w:sz w:val="18"/>
              </w:rPr>
              <w:t>2.55</w:t>
            </w:r>
          </w:p>
        </w:tc>
        <w:tc>
          <w:tcPr>
            <w:tcW w:type="dxa" w:w="1170"/>
          </w:tcPr>
          <w:p>
            <w:pPr>
              <w:jc w:val="center"/>
            </w:pPr>
            <w:r/>
            <w:r>
              <w:rPr>
                <w:rFonts w:ascii="Times New Roman" w:hAnsi="Times New Roman"/>
                <w:sz w:val="18"/>
              </w:rPr>
              <w:t>0.1299</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1.03</w:t>
            </w:r>
          </w:p>
        </w:tc>
        <w:tc>
          <w:tcPr>
            <w:tcW w:type="dxa" w:w="1170"/>
          </w:tcPr>
          <w:p>
            <w:pPr>
              <w:jc w:val="center"/>
            </w:pPr>
            <w:r/>
            <w:r>
              <w:rPr>
                <w:rFonts w:ascii="Times New Roman" w:hAnsi="Times New Roman"/>
                <w:sz w:val="18"/>
              </w:rPr>
              <w:t>0.3260</w:t>
            </w:r>
          </w:p>
        </w:tc>
        <w:tc>
          <w:tcPr>
            <w:tcW w:type="dxa" w:w="1170"/>
          </w:tcPr>
          <w:p>
            <w:pPr>
              <w:jc w:val="center"/>
            </w:pPr>
            <w:r/>
            <w:r>
              <w:rPr>
                <w:rFonts w:ascii="Times New Roman" w:hAnsi="Times New Roman"/>
                <w:sz w:val="18"/>
              </w:rPr>
              <w:t>9.23</w:t>
            </w:r>
          </w:p>
        </w:tc>
        <w:tc>
          <w:tcPr>
            <w:tcW w:type="dxa" w:w="1170"/>
          </w:tcPr>
          <w:p>
            <w:pPr>
              <w:jc w:val="center"/>
            </w:pPr>
            <w:r/>
            <w:r>
              <w:rPr>
                <w:rFonts w:ascii="Times New Roman" w:hAnsi="Times New Roman"/>
                <w:sz w:val="18"/>
              </w:rPr>
              <w:t>0.0083*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7.74</w:t>
            </w:r>
          </w:p>
        </w:tc>
        <w:tc>
          <w:tcPr>
            <w:tcW w:type="dxa" w:w="1170"/>
          </w:tcPr>
          <w:p>
            <w:pPr>
              <w:jc w:val="center"/>
            </w:pPr>
            <w:r/>
            <w:r>
              <w:rPr>
                <w:rFonts w:ascii="Times New Roman" w:hAnsi="Times New Roman"/>
                <w:sz w:val="18"/>
              </w:rPr>
              <w:t>0.0133*</w:t>
            </w:r>
          </w:p>
        </w:tc>
        <w:tc>
          <w:tcPr>
            <w:tcW w:type="dxa" w:w="1170"/>
          </w:tcPr>
          <w:p>
            <w:pPr>
              <w:jc w:val="center"/>
            </w:pPr>
            <w:r/>
            <w:r>
              <w:rPr>
                <w:rFonts w:ascii="Times New Roman" w:hAnsi="Times New Roman"/>
                <w:sz w:val="18"/>
              </w:rPr>
              <w:t>1.97</w:t>
            </w:r>
          </w:p>
        </w:tc>
        <w:tc>
          <w:tcPr>
            <w:tcW w:type="dxa" w:w="1170"/>
          </w:tcPr>
          <w:p>
            <w:pPr>
              <w:jc w:val="center"/>
            </w:pPr>
            <w:r/>
            <w:r>
              <w:rPr>
                <w:rFonts w:ascii="Times New Roman" w:hAnsi="Times New Roman"/>
                <w:sz w:val="18"/>
              </w:rPr>
              <w:t>0.1824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16.34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13.81</w:t>
            </w:r>
          </w:p>
        </w:tc>
        <w:tc>
          <w:tcPr>
            <w:tcW w:type="dxa" w:w="1170"/>
          </w:tcPr>
          <w:p>
            <w:pPr>
              <w:jc w:val="center"/>
            </w:pPr>
            <w:r/>
            <w:r>
              <w:rPr>
                <w:rFonts w:ascii="Times New Roman" w:hAnsi="Times New Roman"/>
                <w:sz w:val="18"/>
              </w:rPr>
              <w:t>0.0021*</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46.66</w:t>
            </w:r>
          </w:p>
        </w:tc>
        <w:tc>
          <w:tcPr>
            <w:tcW w:type="dxa" w:w="1170"/>
          </w:tcPr>
          <w:p>
            <w:pPr>
              <w:jc w:val="center"/>
            </w:pPr>
            <w:r/>
            <w:r>
              <w:rPr>
                <w:rFonts w:ascii="Times New Roman" w:hAnsi="Times New Roman"/>
                <w:sz w:val="18"/>
              </w:rPr>
              <w:t>0.0000*</w:t>
            </w:r>
          </w:p>
        </w:tc>
        <w:tc>
          <w:tcPr>
            <w:tcW w:type="dxa" w:w="1170"/>
          </w:tcPr>
          <w:p>
            <w:pPr>
              <w:jc w:val="center"/>
            </w:pPr>
            <w:r/>
            <w:r>
              <w:rPr>
                <w:rFonts w:ascii="Times New Roman" w:hAnsi="Times New Roman"/>
                <w:sz w:val="18"/>
              </w:rPr>
              <w:t>6.13</w:t>
            </w:r>
          </w:p>
        </w:tc>
        <w:tc>
          <w:tcPr>
            <w:tcW w:type="dxa" w:w="1170"/>
          </w:tcPr>
          <w:p>
            <w:pPr>
              <w:jc w:val="center"/>
            </w:pPr>
            <w:r/>
            <w:r>
              <w:rPr>
                <w:rFonts w:ascii="Times New Roman" w:hAnsi="Times New Roman"/>
                <w:sz w:val="18"/>
              </w:rPr>
              <w:t>0.0123*</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6.02</w:t>
            </w:r>
          </w:p>
        </w:tc>
        <w:tc>
          <w:tcPr>
            <w:tcW w:type="dxa" w:w="1170"/>
          </w:tcPr>
          <w:p>
            <w:pPr>
              <w:jc w:val="center"/>
            </w:pPr>
            <w:r/>
            <w:r>
              <w:rPr>
                <w:rFonts w:ascii="Times New Roman" w:hAnsi="Times New Roman"/>
                <w:sz w:val="18"/>
              </w:rPr>
              <w:t>0.0268*</w:t>
            </w:r>
          </w:p>
        </w:tc>
        <w:tc>
          <w:tcPr>
            <w:tcW w:type="dxa" w:w="1170"/>
          </w:tcPr>
          <w:p>
            <w:pPr>
              <w:jc w:val="center"/>
            </w:pPr>
            <w:r/>
            <w:r>
              <w:rPr>
                <w:rFonts w:ascii="Times New Roman" w:hAnsi="Times New Roman"/>
                <w:sz w:val="18"/>
              </w:rPr>
              <w:t>4.69</w:t>
            </w:r>
          </w:p>
        </w:tc>
        <w:tc>
          <w:tcPr>
            <w:tcW w:type="dxa" w:w="1170"/>
          </w:tcPr>
          <w:p>
            <w:pPr>
              <w:jc w:val="center"/>
            </w:pPr>
            <w:r/>
            <w:r>
              <w:rPr>
                <w:rFonts w:ascii="Times New Roman" w:hAnsi="Times New Roman"/>
                <w:sz w:val="18"/>
              </w:rPr>
              <w:t>0.0469*</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4.95</w:t>
            </w:r>
          </w:p>
        </w:tc>
        <w:tc>
          <w:tcPr>
            <w:tcW w:type="dxa" w:w="1170"/>
          </w:tcPr>
          <w:p>
            <w:pPr>
              <w:jc w:val="center"/>
            </w:pPr>
            <w:r/>
            <w:r>
              <w:rPr>
                <w:rFonts w:ascii="Times New Roman" w:hAnsi="Times New Roman"/>
                <w:sz w:val="18"/>
              </w:rPr>
              <w:t>0.0233*</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0.1324</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9.13</w:t>
            </w:r>
          </w:p>
        </w:tc>
        <w:tc>
          <w:tcPr>
            <w:tcW w:type="dxa" w:w="1170"/>
          </w:tcPr>
          <w:p>
            <w:pPr>
              <w:jc w:val="center"/>
            </w:pPr>
            <w:r/>
            <w:r>
              <w:rPr>
                <w:rFonts w:ascii="Times New Roman" w:hAnsi="Times New Roman"/>
                <w:sz w:val="18"/>
              </w:rPr>
              <w:t>0.0043*</w:t>
            </w:r>
          </w:p>
        </w:tc>
        <w:tc>
          <w:tcPr>
            <w:tcW w:type="dxa" w:w="1170"/>
          </w:tcPr>
          <w:p>
            <w:pPr>
              <w:jc w:val="center"/>
            </w:pPr>
            <w:r/>
            <w:r>
              <w:rPr>
                <w:rFonts w:ascii="Times New Roman" w:hAnsi="Times New Roman"/>
                <w:sz w:val="18"/>
              </w:rPr>
              <w:t>1.55</w:t>
            </w:r>
          </w:p>
        </w:tc>
        <w:tc>
          <w:tcPr>
            <w:tcW w:type="dxa" w:w="1170"/>
          </w:tcPr>
          <w:p>
            <w:pPr>
              <w:jc w:val="center"/>
            </w:pPr>
            <w:r/>
            <w:r>
              <w:rPr>
                <w:rFonts w:ascii="Times New Roman" w:hAnsi="Times New Roman"/>
                <w:sz w:val="18"/>
              </w:rPr>
              <w:t>0.2670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15.21</w:t>
            </w:r>
          </w:p>
        </w:tc>
        <w:tc>
          <w:tcPr>
            <w:tcW w:type="dxa" w:w="1170"/>
          </w:tcPr>
          <w:p>
            <w:pPr>
              <w:jc w:val="center"/>
            </w:pPr>
            <w:r/>
            <w:r>
              <w:rPr>
                <w:rFonts w:ascii="Times New Roman" w:hAnsi="Times New Roman"/>
                <w:sz w:val="18"/>
              </w:rPr>
              <w:t>0.0013*</w:t>
            </w:r>
          </w:p>
        </w:tc>
        <w:tc>
          <w:tcPr>
            <w:tcW w:type="dxa" w:w="1170"/>
          </w:tcPr>
          <w:p>
            <w:pPr>
              <w:jc w:val="center"/>
            </w:pPr>
            <w:r/>
            <w:r>
              <w:rPr>
                <w:rFonts w:ascii="Times New Roman" w:hAnsi="Times New Roman"/>
                <w:sz w:val="18"/>
              </w:rPr>
              <w:t>3.21</w:t>
            </w:r>
          </w:p>
        </w:tc>
        <w:tc>
          <w:tcPr>
            <w:tcW w:type="dxa" w:w="1170"/>
          </w:tcPr>
          <w:p>
            <w:pPr>
              <w:jc w:val="center"/>
            </w:pPr>
            <w:r/>
            <w:r>
              <w:rPr>
                <w:rFonts w:ascii="Times New Roman" w:hAnsi="Times New Roman"/>
                <w:sz w:val="18"/>
              </w:rPr>
              <w:t>0.0702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8.38</w:t>
            </w:r>
          </w:p>
        </w:tc>
        <w:tc>
          <w:tcPr>
            <w:tcW w:type="dxa" w:w="1170"/>
          </w:tcPr>
          <w:p>
            <w:pPr>
              <w:jc w:val="center"/>
            </w:pPr>
            <w:r/>
            <w:r>
              <w:rPr>
                <w:rFonts w:ascii="Times New Roman" w:hAnsi="Times New Roman"/>
                <w:sz w:val="18"/>
              </w:rPr>
              <w:t>0.0111*</w:t>
            </w:r>
          </w:p>
        </w:tc>
        <w:tc>
          <w:tcPr>
            <w:tcW w:type="dxa" w:w="1170"/>
          </w:tcPr>
          <w:p>
            <w:pPr>
              <w:jc w:val="center"/>
            </w:pPr>
            <w:r/>
            <w:r>
              <w:rPr>
                <w:rFonts w:ascii="Times New Roman" w:hAnsi="Times New Roman"/>
                <w:sz w:val="18"/>
              </w:rPr>
              <w:t>7.12</w:t>
            </w:r>
          </w:p>
        </w:tc>
        <w:tc>
          <w:tcPr>
            <w:tcW w:type="dxa" w:w="1170"/>
          </w:tcPr>
          <w:p>
            <w:pPr>
              <w:jc w:val="center"/>
            </w:pPr>
            <w:r/>
            <w:r>
              <w:rPr>
                <w:rFonts w:ascii="Times New Roman" w:hAnsi="Times New Roman"/>
                <w:sz w:val="18"/>
              </w:rPr>
              <w:t>0.0175*</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0.2245</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0.2139</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12.35</w:t>
            </w:r>
          </w:p>
        </w:tc>
        <w:tc>
          <w:tcPr>
            <w:tcW w:type="dxa" w:w="1170"/>
          </w:tcPr>
          <w:p>
            <w:pPr>
              <w:jc w:val="center"/>
            </w:pPr>
            <w:r/>
            <w:r>
              <w:rPr>
                <w:rFonts w:ascii="Times New Roman" w:hAnsi="Times New Roman"/>
                <w:sz w:val="18"/>
              </w:rPr>
              <w:t>0.0015*</w:t>
            </w:r>
          </w:p>
        </w:tc>
        <w:tc>
          <w:tcPr>
            <w:tcW w:type="dxa" w:w="1170"/>
          </w:tcPr>
          <w:p>
            <w:pPr>
              <w:jc w:val="center"/>
            </w:pPr>
            <w:r/>
            <w:r>
              <w:rPr>
                <w:rFonts w:ascii="Times New Roman" w:hAnsi="Times New Roman"/>
                <w:sz w:val="18"/>
              </w:rPr>
              <w:t>23.92</w:t>
            </w:r>
          </w:p>
        </w:tc>
        <w:tc>
          <w:tcPr>
            <w:tcW w:type="dxa" w:w="1170"/>
          </w:tcPr>
          <w:p>
            <w:pPr>
              <w:jc w:val="center"/>
            </w:pPr>
            <w:r/>
            <w:r>
              <w:rPr>
                <w:rFonts w:ascii="Times New Roman" w:hAnsi="Times New Roman"/>
                <w:sz w:val="18"/>
              </w:rPr>
              <w:t>0.0002*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15.48</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4.15</w:t>
            </w:r>
          </w:p>
        </w:tc>
        <w:tc>
          <w:tcPr>
            <w:tcW w:type="dxa" w:w="1170"/>
          </w:tcPr>
          <w:p>
            <w:pPr>
              <w:jc w:val="center"/>
            </w:pPr>
            <w:r/>
            <w:r>
              <w:rPr>
                <w:rFonts w:ascii="Times New Roman" w:hAnsi="Times New Roman"/>
                <w:sz w:val="18"/>
              </w:rPr>
              <w:t>0.0404*</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8.20</w:t>
            </w:r>
          </w:p>
        </w:tc>
        <w:tc>
          <w:tcPr>
            <w:tcW w:type="dxa" w:w="1170"/>
          </w:tcPr>
          <w:p>
            <w:pPr>
              <w:jc w:val="center"/>
            </w:pPr>
            <w:r/>
            <w:r>
              <w:rPr>
                <w:rFonts w:ascii="Times New Roman" w:hAnsi="Times New Roman"/>
                <w:sz w:val="18"/>
              </w:rPr>
              <w:t>0.0118*</w:t>
            </w:r>
          </w:p>
        </w:tc>
        <w:tc>
          <w:tcPr>
            <w:tcW w:type="dxa" w:w="1170"/>
          </w:tcPr>
          <w:p>
            <w:pPr>
              <w:jc w:val="center"/>
            </w:pPr>
            <w:r/>
            <w:r>
              <w:rPr>
                <w:rFonts w:ascii="Times New Roman" w:hAnsi="Times New Roman"/>
                <w:sz w:val="18"/>
              </w:rPr>
              <w:t>2.08</w:t>
            </w:r>
          </w:p>
        </w:tc>
        <w:tc>
          <w:tcPr>
            <w:tcW w:type="dxa" w:w="1170"/>
          </w:tcPr>
          <w:p>
            <w:pPr>
              <w:jc w:val="center"/>
            </w:pPr>
            <w:r/>
            <w:r>
              <w:rPr>
                <w:rFonts w:ascii="Times New Roman" w:hAnsi="Times New Roman"/>
                <w:sz w:val="18"/>
              </w:rPr>
              <w:t>0.1696</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19.90</w:t>
            </w:r>
          </w:p>
        </w:tc>
        <w:tc>
          <w:tcPr>
            <w:tcW w:type="dxa" w:w="1170"/>
          </w:tcPr>
          <w:p>
            <w:pPr>
              <w:jc w:val="center"/>
            </w:pPr>
            <w:r/>
            <w:r>
              <w:rPr>
                <w:rFonts w:ascii="Times New Roman" w:hAnsi="Times New Roman"/>
                <w:sz w:val="18"/>
              </w:rPr>
              <w:t>0.0006*</w:t>
            </w:r>
          </w:p>
        </w:tc>
        <w:tc>
          <w:tcPr>
            <w:tcW w:type="dxa" w:w="1170"/>
          </w:tcPr>
          <w:p>
            <w:pPr>
              <w:jc w:val="center"/>
            </w:pPr>
            <w:r/>
            <w:r>
              <w:rPr>
                <w:rFonts w:ascii="Times New Roman" w:hAnsi="Times New Roman"/>
                <w:sz w:val="18"/>
              </w:rPr>
              <w:t>2.67</w:t>
            </w:r>
          </w:p>
        </w:tc>
        <w:tc>
          <w:tcPr>
            <w:tcW w:type="dxa" w:w="1170"/>
          </w:tcPr>
          <w:p>
            <w:pPr>
              <w:jc w:val="center"/>
            </w:pPr>
            <w:r/>
            <w:r>
              <w:rPr>
                <w:rFonts w:ascii="Times New Roman" w:hAnsi="Times New Roman"/>
                <w:sz w:val="18"/>
              </w:rPr>
              <w:t>0.1048</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0.0038*</w:t>
            </w:r>
          </w:p>
        </w:tc>
        <w:tc>
          <w:tcPr>
            <w:tcW w:type="dxa" w:w="1170"/>
          </w:tcPr>
          <w:p>
            <w:pPr>
              <w:jc w:val="center"/>
            </w:pPr>
            <w:r/>
            <w:r>
              <w:rPr>
                <w:rFonts w:ascii="Times New Roman" w:hAnsi="Times New Roman"/>
                <w:sz w:val="18"/>
              </w:rPr>
              <w:t>4.13</w:t>
            </w:r>
          </w:p>
        </w:tc>
        <w:tc>
          <w:tcPr>
            <w:tcW w:type="dxa" w:w="1170"/>
          </w:tcPr>
          <w:p>
            <w:pPr>
              <w:jc w:val="center"/>
            </w:pPr>
            <w:r/>
            <w:r>
              <w:rPr>
                <w:rFonts w:ascii="Times New Roman" w:hAnsi="Times New Roman"/>
                <w:sz w:val="18"/>
              </w:rPr>
              <w:t>0.0602</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20.89</w:t>
            </w:r>
          </w:p>
        </w:tc>
        <w:tc>
          <w:tcPr>
            <w:tcW w:type="dxa" w:w="1170"/>
          </w:tcPr>
          <w:p>
            <w:pPr>
              <w:jc w:val="center"/>
            </w:pPr>
            <w:r/>
            <w:r>
              <w:rPr>
                <w:rFonts w:ascii="Times New Roman" w:hAnsi="Times New Roman"/>
                <w:sz w:val="18"/>
              </w:rPr>
              <w:t>0.0001*</w:t>
            </w:r>
          </w:p>
        </w:tc>
        <w:tc>
          <w:tcPr>
            <w:tcW w:type="dxa" w:w="1170"/>
          </w:tcPr>
          <w:p>
            <w:pPr>
              <w:jc w:val="center"/>
            </w:pPr>
            <w:r/>
            <w:r>
              <w:rPr>
                <w:rFonts w:ascii="Times New Roman" w:hAnsi="Times New Roman"/>
                <w:sz w:val="18"/>
              </w:rPr>
              <w:t>3.36</w:t>
            </w:r>
          </w:p>
        </w:tc>
        <w:tc>
          <w:tcPr>
            <w:tcW w:type="dxa" w:w="1170"/>
          </w:tcPr>
          <w:p>
            <w:pPr>
              <w:jc w:val="center"/>
            </w:pPr>
            <w:r/>
            <w:r>
              <w:rPr>
                <w:rFonts w:ascii="Times New Roman" w:hAnsi="Times New Roman"/>
                <w:sz w:val="18"/>
              </w:rPr>
              <w:t>0.0856</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1.39</w:t>
            </w:r>
          </w:p>
        </w:tc>
        <w:tc>
          <w:tcPr>
            <w:tcW w:type="dxa" w:w="1170"/>
          </w:tcPr>
          <w:p>
            <w:pPr>
              <w:jc w:val="center"/>
            </w:pPr>
            <w:r/>
            <w:r>
              <w:rPr>
                <w:rFonts w:ascii="Times New Roman" w:hAnsi="Times New Roman"/>
                <w:sz w:val="18"/>
              </w:rPr>
              <w:t>0.2565</w:t>
            </w:r>
          </w:p>
        </w:tc>
        <w:tc>
          <w:tcPr>
            <w:tcW w:type="dxa" w:w="1170"/>
          </w:tcPr>
          <w:p>
            <w:pPr>
              <w:jc w:val="center"/>
            </w:pPr>
            <w:r/>
            <w:r>
              <w:rPr>
                <w:rFonts w:ascii="Times New Roman" w:hAnsi="Times New Roman"/>
                <w:sz w:val="18"/>
              </w:rPr>
              <w:t>3.66</w:t>
            </w:r>
          </w:p>
        </w:tc>
        <w:tc>
          <w:tcPr>
            <w:tcW w:type="dxa" w:w="1170"/>
          </w:tcPr>
          <w:p>
            <w:pPr>
              <w:jc w:val="center"/>
            </w:pPr>
            <w:r/>
            <w:r>
              <w:rPr>
                <w:rFonts w:ascii="Times New Roman" w:hAnsi="Times New Roman"/>
                <w:sz w:val="18"/>
              </w:rPr>
              <w:t>0.0749</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1.37</w:t>
            </w:r>
          </w:p>
        </w:tc>
        <w:tc>
          <w:tcPr>
            <w:tcW w:type="dxa" w:w="1170"/>
          </w:tcPr>
          <w:p>
            <w:pPr>
              <w:jc w:val="center"/>
            </w:pPr>
            <w:r/>
            <w:r>
              <w:rPr>
                <w:rFonts w:ascii="Times New Roman" w:hAnsi="Times New Roman"/>
                <w:sz w:val="18"/>
              </w:rPr>
              <w:t>0.2595</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0.3182</w:t>
            </w:r>
          </w:p>
        </w:tc>
      </w:tr>
    </w:tbl>
    <w:p/>
    <w:p>
      <w:pPr>
        <w:spacing w:after="120" w:line="480" w:lineRule="auto"/>
      </w:pPr>
      <w:r>
        <w:rPr>
          <w:rFonts w:ascii="Times New Roman" w:hAnsi="Times New Roman"/>
          <w:b w:val="0"/>
          <w:i w:val="0"/>
          <w:sz w:val="24"/>
        </w:rPr>
        <w:t>Significant reverse Granger causality (workforce → incidents) was observed in 8 models. Seven specialty–outcome combinations showed bidirectional causality: obstetrics and gynaecology (physicians and facilities), paediatrics (physicians and facilities), general surgery (physicians), ophthalmology (facilities), and otolaryngology (facilities).</w:t>
      </w:r>
    </w:p>
    <w:p>
      <w:pPr>
        <w:spacing w:after="120" w:line="480" w:lineRule="auto"/>
      </w:pPr>
      <w:r>
        <w:rPr>
          <w:rFonts w:ascii="Times New Roman" w:hAnsi="Times New Roman"/>
          <w:b w:val="0"/>
          <w:i w:val="0"/>
          <w:sz w:val="24"/>
        </w:rPr>
        <w:t>In the JMSR-based sensitivity analysis (Table 2), only 2 of 24 tests reached significance, reflecting the shorter series. However, general surgery (F = 23.04, P = 0.003) and psychiatry (F = 9.48, P = 0.022) were significant even with 10–11 observations.</w:t>
      </w:r>
    </w:p>
    <w:p>
      <w:pPr>
        <w:spacing w:after="120" w:before="240" w:line="480" w:lineRule="auto"/>
      </w:pPr>
      <w:r>
        <w:rPr>
          <w:rFonts w:ascii="Times New Roman" w:hAnsi="Times New Roman"/>
          <w:b/>
          <w:sz w:val="20"/>
        </w:rPr>
        <w:t>Table 2. Granger causality test results (JMSR data, sensitivity analysis, 10–11 observations).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0.5020</w:t>
            </w:r>
          </w:p>
        </w:tc>
        <w:tc>
          <w:tcPr>
            <w:tcW w:type="dxa" w:w="1170"/>
          </w:tcPr>
          <w:p>
            <w:pPr>
              <w:jc w:val="center"/>
            </w:pPr>
            <w:r/>
            <w:r>
              <w:rPr>
                <w:rFonts w:ascii="Times New Roman" w:hAnsi="Times New Roman"/>
                <w:sz w:val="18"/>
              </w:rPr>
              <w:t>2.53</w:t>
            </w:r>
          </w:p>
        </w:tc>
        <w:tc>
          <w:tcPr>
            <w:tcW w:type="dxa" w:w="1170"/>
          </w:tcPr>
          <w:p>
            <w:pPr>
              <w:jc w:val="center"/>
            </w:pPr>
            <w:r/>
            <w:r>
              <w:rPr>
                <w:rFonts w:ascii="Times New Roman" w:hAnsi="Times New Roman"/>
                <w:sz w:val="18"/>
              </w:rPr>
              <w:t>0.1627</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0.82</w:t>
            </w:r>
          </w:p>
        </w:tc>
        <w:tc>
          <w:tcPr>
            <w:tcW w:type="dxa" w:w="1170"/>
          </w:tcPr>
          <w:p>
            <w:pPr>
              <w:jc w:val="center"/>
            </w:pPr>
            <w:r/>
            <w:r>
              <w:rPr>
                <w:rFonts w:ascii="Times New Roman" w:hAnsi="Times New Roman"/>
                <w:sz w:val="18"/>
              </w:rPr>
              <w:t>0.5190</w:t>
            </w:r>
          </w:p>
        </w:tc>
        <w:tc>
          <w:tcPr>
            <w:tcW w:type="dxa" w:w="1170"/>
          </w:tcPr>
          <w:p>
            <w:pPr>
              <w:jc w:val="center"/>
            </w:pPr>
            <w:r/>
            <w:r>
              <w:rPr>
                <w:rFonts w:ascii="Times New Roman" w:hAnsi="Times New Roman"/>
                <w:sz w:val="18"/>
              </w:rPr>
              <w:t>2.58</w:t>
            </w:r>
          </w:p>
        </w:tc>
        <w:tc>
          <w:tcPr>
            <w:tcW w:type="dxa" w:w="1170"/>
          </w:tcPr>
          <w:p>
            <w:pPr>
              <w:jc w:val="center"/>
            </w:pPr>
            <w:r/>
            <w:r>
              <w:rPr>
                <w:rFonts w:ascii="Times New Roman" w:hAnsi="Times New Roman"/>
                <w:sz w:val="18"/>
              </w:rPr>
              <w:t>0.1596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0.65</w:t>
            </w:r>
          </w:p>
        </w:tc>
        <w:tc>
          <w:tcPr>
            <w:tcW w:type="dxa" w:w="1170"/>
          </w:tcPr>
          <w:p>
            <w:pPr>
              <w:jc w:val="center"/>
            </w:pPr>
            <w:r/>
            <w:r>
              <w:rPr>
                <w:rFonts w:ascii="Times New Roman" w:hAnsi="Times New Roman"/>
                <w:sz w:val="18"/>
              </w:rPr>
              <w:t>0.4501</w:t>
            </w:r>
          </w:p>
        </w:tc>
        <w:tc>
          <w:tcPr>
            <w:tcW w:type="dxa" w:w="1170"/>
          </w:tcPr>
          <w:p>
            <w:pPr>
              <w:jc w:val="center"/>
            </w:pPr>
            <w:r/>
            <w:r>
              <w:rPr>
                <w:rFonts w:ascii="Times New Roman" w:hAnsi="Times New Roman"/>
                <w:sz w:val="18"/>
              </w:rPr>
              <w:t>0.71</w:t>
            </w:r>
          </w:p>
        </w:tc>
        <w:tc>
          <w:tcPr>
            <w:tcW w:type="dxa" w:w="1170"/>
          </w:tcPr>
          <w:p>
            <w:pPr>
              <w:jc w:val="center"/>
            </w:pPr>
            <w:r/>
            <w:r>
              <w:rPr>
                <w:rFonts w:ascii="Times New Roman" w:hAnsi="Times New Roman"/>
                <w:sz w:val="18"/>
              </w:rPr>
              <w:t>0.4318</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1.98</w:t>
            </w:r>
          </w:p>
        </w:tc>
        <w:tc>
          <w:tcPr>
            <w:tcW w:type="dxa" w:w="1170"/>
          </w:tcPr>
          <w:p>
            <w:pPr>
              <w:jc w:val="center"/>
            </w:pPr>
            <w:r/>
            <w:r>
              <w:rPr>
                <w:rFonts w:ascii="Times New Roman" w:hAnsi="Times New Roman"/>
                <w:sz w:val="18"/>
              </w:rPr>
              <w:t>0.2829</w:t>
            </w:r>
          </w:p>
        </w:tc>
        <w:tc>
          <w:tcPr>
            <w:tcW w:type="dxa" w:w="1170"/>
          </w:tcPr>
          <w:p>
            <w:pPr>
              <w:jc w:val="center"/>
            </w:pPr>
            <w:r/>
            <w:r>
              <w:rPr>
                <w:rFonts w:ascii="Times New Roman" w:hAnsi="Times New Roman"/>
                <w:sz w:val="18"/>
              </w:rPr>
              <w:t>31.91</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23.04</w:t>
            </w:r>
          </w:p>
        </w:tc>
        <w:tc>
          <w:tcPr>
            <w:tcW w:type="dxa" w:w="1170"/>
          </w:tcPr>
          <w:p>
            <w:pPr>
              <w:jc w:val="center"/>
            </w:pPr>
            <w:r/>
            <w:r>
              <w:rPr>
                <w:rFonts w:ascii="Times New Roman" w:hAnsi="Times New Roman"/>
                <w:sz w:val="18"/>
              </w:rPr>
              <w:t>0.0030*</w:t>
            </w:r>
          </w:p>
        </w:tc>
        <w:tc>
          <w:tcPr>
            <w:tcW w:type="dxa" w:w="1170"/>
          </w:tcPr>
          <w:p>
            <w:pPr>
              <w:jc w:val="center"/>
            </w:pPr>
            <w:r/>
            <w:r>
              <w:rPr>
                <w:rFonts w:ascii="Times New Roman" w:hAnsi="Times New Roman"/>
                <w:sz w:val="18"/>
              </w:rPr>
              <w:t>32.37</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4.89</w:t>
            </w:r>
          </w:p>
        </w:tc>
        <w:tc>
          <w:tcPr>
            <w:tcW w:type="dxa" w:w="1170"/>
          </w:tcPr>
          <w:p>
            <w:pPr>
              <w:jc w:val="center"/>
            </w:pPr>
            <w:r/>
            <w:r>
              <w:rPr>
                <w:rFonts w:ascii="Times New Roman" w:hAnsi="Times New Roman"/>
                <w:sz w:val="18"/>
              </w:rPr>
              <w:t>0.0690</w:t>
            </w:r>
          </w:p>
        </w:tc>
        <w:tc>
          <w:tcPr>
            <w:tcW w:type="dxa" w:w="1170"/>
          </w:tcPr>
          <w:p>
            <w:pPr>
              <w:jc w:val="center"/>
            </w:pPr>
            <w:r/>
            <w:r>
              <w:rPr>
                <w:rFonts w:ascii="Times New Roman" w:hAnsi="Times New Roman"/>
                <w:sz w:val="18"/>
              </w:rPr>
              <w:t>0.61</w:t>
            </w:r>
          </w:p>
        </w:tc>
        <w:tc>
          <w:tcPr>
            <w:tcW w:type="dxa" w:w="1170"/>
          </w:tcPr>
          <w:p>
            <w:pPr>
              <w:jc w:val="center"/>
            </w:pPr>
            <w:r/>
            <w:r>
              <w:rPr>
                <w:rFonts w:ascii="Times New Roman" w:hAnsi="Times New Roman"/>
                <w:sz w:val="18"/>
              </w:rPr>
              <w:t>0.6001</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2.10</w:t>
            </w:r>
          </w:p>
        </w:tc>
        <w:tc>
          <w:tcPr>
            <w:tcW w:type="dxa" w:w="1170"/>
          </w:tcPr>
          <w:p>
            <w:pPr>
              <w:jc w:val="center"/>
            </w:pPr>
            <w:r/>
            <w:r>
              <w:rPr>
                <w:rFonts w:ascii="Times New Roman" w:hAnsi="Times New Roman"/>
                <w:sz w:val="18"/>
              </w:rPr>
              <w:t>0.1971</w:t>
            </w:r>
          </w:p>
        </w:tc>
        <w:tc>
          <w:tcPr>
            <w:tcW w:type="dxa" w:w="1170"/>
          </w:tcPr>
          <w:p>
            <w:pPr>
              <w:jc w:val="center"/>
            </w:pPr>
            <w:r/>
            <w:r>
              <w:rPr>
                <w:rFonts w:ascii="Times New Roman" w:hAnsi="Times New Roman"/>
                <w:sz w:val="18"/>
              </w:rPr>
              <w:t>3.62</w:t>
            </w:r>
          </w:p>
        </w:tc>
        <w:tc>
          <w:tcPr>
            <w:tcW w:type="dxa" w:w="1170"/>
          </w:tcPr>
          <w:p>
            <w:pPr>
              <w:jc w:val="center"/>
            </w:pPr>
            <w:r/>
            <w:r>
              <w:rPr>
                <w:rFonts w:ascii="Times New Roman" w:hAnsi="Times New Roman"/>
                <w:sz w:val="18"/>
              </w:rPr>
              <w:t>0.1584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4.03</w:t>
            </w:r>
          </w:p>
        </w:tc>
        <w:tc>
          <w:tcPr>
            <w:tcW w:type="dxa" w:w="1170"/>
          </w:tcPr>
          <w:p>
            <w:pPr>
              <w:jc w:val="center"/>
            </w:pPr>
            <w:r/>
            <w:r>
              <w:rPr>
                <w:rFonts w:ascii="Times New Roman" w:hAnsi="Times New Roman"/>
                <w:sz w:val="18"/>
              </w:rPr>
              <w:t>0.1414</w:t>
            </w:r>
          </w:p>
        </w:tc>
        <w:tc>
          <w:tcPr>
            <w:tcW w:type="dxa" w:w="1170"/>
          </w:tcPr>
          <w:p>
            <w:pPr>
              <w:jc w:val="center"/>
            </w:pPr>
            <w:r/>
            <w:r>
              <w:rPr>
                <w:rFonts w:ascii="Times New Roman" w:hAnsi="Times New Roman"/>
                <w:sz w:val="18"/>
              </w:rPr>
              <w:t>15.28</w:t>
            </w:r>
          </w:p>
        </w:tc>
        <w:tc>
          <w:tcPr>
            <w:tcW w:type="dxa" w:w="1170"/>
          </w:tcPr>
          <w:p>
            <w:pPr>
              <w:jc w:val="center"/>
            </w:pPr>
            <w:r/>
            <w:r>
              <w:rPr>
                <w:rFonts w:ascii="Times New Roman" w:hAnsi="Times New Roman"/>
                <w:sz w:val="18"/>
              </w:rPr>
              <w:t>0.0079*</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1.87</w:t>
            </w:r>
          </w:p>
        </w:tc>
        <w:tc>
          <w:tcPr>
            <w:tcW w:type="dxa" w:w="1170"/>
          </w:tcPr>
          <w:p>
            <w:pPr>
              <w:jc w:val="center"/>
            </w:pPr>
            <w:r/>
            <w:r>
              <w:rPr>
                <w:rFonts w:ascii="Times New Roman" w:hAnsi="Times New Roman"/>
                <w:sz w:val="18"/>
              </w:rPr>
              <w:t>0.2202</w:t>
            </w:r>
          </w:p>
        </w:tc>
        <w:tc>
          <w:tcPr>
            <w:tcW w:type="dxa" w:w="1170"/>
          </w:tcPr>
          <w:p>
            <w:pPr>
              <w:jc w:val="center"/>
            </w:pPr>
            <w:r/>
            <w:r>
              <w:rPr>
                <w:rFonts w:ascii="Times New Roman" w:hAnsi="Times New Roman"/>
                <w:sz w:val="18"/>
              </w:rPr>
              <w:t>14.04</w:t>
            </w:r>
          </w:p>
        </w:tc>
        <w:tc>
          <w:tcPr>
            <w:tcW w:type="dxa" w:w="1170"/>
          </w:tcPr>
          <w:p>
            <w:pPr>
              <w:jc w:val="center"/>
            </w:pPr>
            <w:r/>
            <w:r>
              <w:rPr>
                <w:rFonts w:ascii="Times New Roman" w:hAnsi="Times New Roman"/>
                <w:sz w:val="18"/>
              </w:rPr>
              <w:t>0.0095*</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0.5047</w:t>
            </w:r>
          </w:p>
        </w:tc>
        <w:tc>
          <w:tcPr>
            <w:tcW w:type="dxa" w:w="1170"/>
          </w:tcPr>
          <w:p>
            <w:pPr>
              <w:jc w:val="center"/>
            </w:pPr>
            <w:r/>
            <w:r>
              <w:rPr>
                <w:rFonts w:ascii="Times New Roman" w:hAnsi="Times New Roman"/>
                <w:sz w:val="18"/>
              </w:rPr>
              <w:t>0.46</w:t>
            </w:r>
          </w:p>
        </w:tc>
        <w:tc>
          <w:tcPr>
            <w:tcW w:type="dxa" w:w="1170"/>
          </w:tcPr>
          <w:p>
            <w:pPr>
              <w:jc w:val="center"/>
            </w:pPr>
            <w:r/>
            <w:r>
              <w:rPr>
                <w:rFonts w:ascii="Times New Roman" w:hAnsi="Times New Roman"/>
                <w:sz w:val="18"/>
              </w:rPr>
              <w:t>0.6684</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0.51</w:t>
            </w:r>
          </w:p>
        </w:tc>
        <w:tc>
          <w:tcPr>
            <w:tcW w:type="dxa" w:w="1170"/>
          </w:tcPr>
          <w:p>
            <w:pPr>
              <w:jc w:val="center"/>
            </w:pPr>
            <w:r/>
            <w:r>
              <w:rPr>
                <w:rFonts w:ascii="Times New Roman" w:hAnsi="Times New Roman"/>
                <w:sz w:val="18"/>
              </w:rPr>
              <w:t>0.6457</w:t>
            </w:r>
          </w:p>
        </w:tc>
        <w:tc>
          <w:tcPr>
            <w:tcW w:type="dxa" w:w="1170"/>
          </w:tcPr>
          <w:p>
            <w:pPr>
              <w:jc w:val="center"/>
            </w:pPr>
            <w:r/>
            <w:r>
              <w:rPr>
                <w:rFonts w:ascii="Times New Roman" w:hAnsi="Times New Roman"/>
                <w:sz w:val="18"/>
              </w:rPr>
              <w:t>4.21</w:t>
            </w:r>
          </w:p>
        </w:tc>
        <w:tc>
          <w:tcPr>
            <w:tcW w:type="dxa" w:w="1170"/>
          </w:tcPr>
          <w:p>
            <w:pPr>
              <w:jc w:val="center"/>
            </w:pPr>
            <w:r/>
            <w:r>
              <w:rPr>
                <w:rFonts w:ascii="Times New Roman" w:hAnsi="Times New Roman"/>
                <w:sz w:val="18"/>
              </w:rPr>
              <w:t>0.1347</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1.99</w:t>
            </w:r>
          </w:p>
        </w:tc>
        <w:tc>
          <w:tcPr>
            <w:tcW w:type="dxa" w:w="1170"/>
          </w:tcPr>
          <w:p>
            <w:pPr>
              <w:jc w:val="center"/>
            </w:pPr>
            <w:r/>
            <w:r>
              <w:rPr>
                <w:rFonts w:ascii="Times New Roman" w:hAnsi="Times New Roman"/>
                <w:sz w:val="18"/>
              </w:rPr>
              <w:t>0.2822</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0.2290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0.80</w:t>
            </w:r>
          </w:p>
        </w:tc>
        <w:tc>
          <w:tcPr>
            <w:tcW w:type="dxa" w:w="1170"/>
          </w:tcPr>
          <w:p>
            <w:pPr>
              <w:jc w:val="center"/>
            </w:pPr>
            <w:r/>
            <w:r>
              <w:rPr>
                <w:rFonts w:ascii="Times New Roman" w:hAnsi="Times New Roman"/>
                <w:sz w:val="18"/>
              </w:rPr>
              <w:t>0.5272</w:t>
            </w:r>
          </w:p>
        </w:tc>
        <w:tc>
          <w:tcPr>
            <w:tcW w:type="dxa" w:w="1170"/>
          </w:tcPr>
          <w:p>
            <w:pPr>
              <w:jc w:val="center"/>
            </w:pPr>
            <w:r/>
            <w:r>
              <w:rPr>
                <w:rFonts w:ascii="Times New Roman" w:hAnsi="Times New Roman"/>
                <w:sz w:val="18"/>
              </w:rPr>
              <w:t>5.85</w:t>
            </w:r>
          </w:p>
        </w:tc>
        <w:tc>
          <w:tcPr>
            <w:tcW w:type="dxa" w:w="1170"/>
          </w:tcPr>
          <w:p>
            <w:pPr>
              <w:jc w:val="center"/>
            </w:pPr>
            <w:r/>
            <w:r>
              <w:rPr>
                <w:rFonts w:ascii="Times New Roman" w:hAnsi="Times New Roman"/>
                <w:sz w:val="18"/>
              </w:rPr>
              <w:t>0.0922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0.34</w:t>
            </w:r>
          </w:p>
        </w:tc>
        <w:tc>
          <w:tcPr>
            <w:tcW w:type="dxa" w:w="1170"/>
          </w:tcPr>
          <w:p>
            <w:pPr>
              <w:jc w:val="center"/>
            </w:pPr>
            <w:r/>
            <w:r>
              <w:rPr>
                <w:rFonts w:ascii="Times New Roman" w:hAnsi="Times New Roman"/>
                <w:sz w:val="18"/>
              </w:rPr>
              <w:t>0.7382</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0.2227</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2.21</w:t>
            </w:r>
          </w:p>
        </w:tc>
        <w:tc>
          <w:tcPr>
            <w:tcW w:type="dxa" w:w="1170"/>
          </w:tcPr>
          <w:p>
            <w:pPr>
              <w:jc w:val="center"/>
            </w:pPr>
            <w:r/>
            <w:r>
              <w:rPr>
                <w:rFonts w:ascii="Times New Roman" w:hAnsi="Times New Roman"/>
                <w:sz w:val="18"/>
              </w:rPr>
              <w:t>0.1875</w:t>
            </w:r>
          </w:p>
        </w:tc>
        <w:tc>
          <w:tcPr>
            <w:tcW w:type="dxa" w:w="1170"/>
          </w:tcPr>
          <w:p>
            <w:pPr>
              <w:jc w:val="center"/>
            </w:pPr>
            <w:r/>
            <w:r>
              <w:rPr>
                <w:rFonts w:ascii="Times New Roman" w:hAnsi="Times New Roman"/>
                <w:sz w:val="18"/>
              </w:rPr>
              <w:t>0.93</w:t>
            </w:r>
          </w:p>
        </w:tc>
        <w:tc>
          <w:tcPr>
            <w:tcW w:type="dxa" w:w="1170"/>
          </w:tcPr>
          <w:p>
            <w:pPr>
              <w:jc w:val="center"/>
            </w:pPr>
            <w:r/>
            <w:r>
              <w:rPr>
                <w:rFonts w:ascii="Times New Roman" w:hAnsi="Times New Roman"/>
                <w:sz w:val="18"/>
              </w:rPr>
              <w:t>0.3714</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0.3430</w:t>
            </w:r>
          </w:p>
        </w:tc>
        <w:tc>
          <w:tcPr>
            <w:tcW w:type="dxa" w:w="1170"/>
          </w:tcPr>
          <w:p>
            <w:pPr>
              <w:jc w:val="center"/>
            </w:pPr>
            <w:r/>
            <w:r>
              <w:rPr>
                <w:rFonts w:ascii="Times New Roman" w:hAnsi="Times New Roman"/>
                <w:sz w:val="18"/>
              </w:rPr>
              <w:t>0.99</w:t>
            </w:r>
          </w:p>
        </w:tc>
        <w:tc>
          <w:tcPr>
            <w:tcW w:type="dxa" w:w="1170"/>
          </w:tcPr>
          <w:p>
            <w:pPr>
              <w:jc w:val="center"/>
            </w:pPr>
            <w:r/>
            <w:r>
              <w:rPr>
                <w:rFonts w:ascii="Times New Roman" w:hAnsi="Times New Roman"/>
                <w:sz w:val="18"/>
              </w:rPr>
              <w:t>0.3582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0.77</w:t>
            </w:r>
          </w:p>
        </w:tc>
        <w:tc>
          <w:tcPr>
            <w:tcW w:type="dxa" w:w="1170"/>
          </w:tcPr>
          <w:p>
            <w:pPr>
              <w:jc w:val="center"/>
            </w:pPr>
            <w:r/>
            <w:r>
              <w:rPr>
                <w:rFonts w:ascii="Times New Roman" w:hAnsi="Times New Roman"/>
                <w:sz w:val="18"/>
              </w:rPr>
              <w:t>0.4144</w:t>
            </w:r>
          </w:p>
        </w:tc>
        <w:tc>
          <w:tcPr>
            <w:tcW w:type="dxa" w:w="1170"/>
          </w:tcPr>
          <w:p>
            <w:pPr>
              <w:jc w:val="center"/>
            </w:pPr>
            <w:r/>
            <w:r>
              <w:rPr>
                <w:rFonts w:ascii="Times New Roman" w:hAnsi="Times New Roman"/>
                <w:sz w:val="18"/>
              </w:rPr>
              <w:t>1.01</w:t>
            </w:r>
          </w:p>
        </w:tc>
        <w:tc>
          <w:tcPr>
            <w:tcW w:type="dxa" w:w="1170"/>
          </w:tcPr>
          <w:p>
            <w:pPr>
              <w:jc w:val="center"/>
            </w:pPr>
            <w:r/>
            <w:r>
              <w:rPr>
                <w:rFonts w:ascii="Times New Roman" w:hAnsi="Times New Roman"/>
                <w:sz w:val="18"/>
              </w:rPr>
              <w:t>0.3547</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1.00</w:t>
            </w:r>
          </w:p>
        </w:tc>
        <w:tc>
          <w:tcPr>
            <w:tcW w:type="dxa" w:w="1170"/>
          </w:tcPr>
          <w:p>
            <w:pPr>
              <w:jc w:val="center"/>
            </w:pPr>
            <w:r/>
            <w:r>
              <w:rPr>
                <w:rFonts w:ascii="Times New Roman" w:hAnsi="Times New Roman"/>
                <w:sz w:val="18"/>
              </w:rPr>
              <w:t>0.4641</w:t>
            </w:r>
          </w:p>
        </w:tc>
        <w:tc>
          <w:tcPr>
            <w:tcW w:type="dxa" w:w="1170"/>
          </w:tcPr>
          <w:p>
            <w:pPr>
              <w:jc w:val="center"/>
            </w:pPr>
            <w:r/>
            <w:r>
              <w:rPr>
                <w:rFonts w:ascii="Times New Roman" w:hAnsi="Times New Roman"/>
                <w:sz w:val="18"/>
              </w:rPr>
              <w:t>0.09</w:t>
            </w:r>
          </w:p>
        </w:tc>
        <w:tc>
          <w:tcPr>
            <w:tcW w:type="dxa" w:w="1170"/>
          </w:tcPr>
          <w:p>
            <w:pPr>
              <w:jc w:val="center"/>
            </w:pPr>
            <w:r/>
            <w:r>
              <w:rPr>
                <w:rFonts w:ascii="Times New Roman" w:hAnsi="Times New Roman"/>
                <w:sz w:val="18"/>
              </w:rPr>
              <w:t>0.7700</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0.28</w:t>
            </w:r>
          </w:p>
        </w:tc>
        <w:tc>
          <w:tcPr>
            <w:tcW w:type="dxa" w:w="1170"/>
          </w:tcPr>
          <w:p>
            <w:pPr>
              <w:jc w:val="center"/>
            </w:pPr>
            <w:r/>
            <w:r>
              <w:rPr>
                <w:rFonts w:ascii="Times New Roman" w:hAnsi="Times New Roman"/>
                <w:sz w:val="18"/>
              </w:rPr>
              <w:t>0.6156</w:t>
            </w:r>
          </w:p>
        </w:tc>
        <w:tc>
          <w:tcPr>
            <w:tcW w:type="dxa" w:w="1170"/>
          </w:tcPr>
          <w:p>
            <w:pPr>
              <w:jc w:val="center"/>
            </w:pPr>
            <w:r/>
            <w:r>
              <w:rPr>
                <w:rFonts w:ascii="Times New Roman" w:hAnsi="Times New Roman"/>
                <w:sz w:val="18"/>
              </w:rPr>
              <w:t>1.43</w:t>
            </w:r>
          </w:p>
        </w:tc>
        <w:tc>
          <w:tcPr>
            <w:tcW w:type="dxa" w:w="1170"/>
          </w:tcPr>
          <w:p>
            <w:pPr>
              <w:jc w:val="center"/>
            </w:pPr>
            <w:r/>
            <w:r>
              <w:rPr>
                <w:rFonts w:ascii="Times New Roman" w:hAnsi="Times New Roman"/>
                <w:sz w:val="18"/>
              </w:rPr>
              <w:t>0.3659</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5.65</w:t>
            </w:r>
          </w:p>
        </w:tc>
        <w:tc>
          <w:tcPr>
            <w:tcW w:type="dxa" w:w="1170"/>
          </w:tcPr>
          <w:p>
            <w:pPr>
              <w:jc w:val="center"/>
            </w:pPr>
            <w:r/>
            <w:r>
              <w:rPr>
                <w:rFonts w:ascii="Times New Roman" w:hAnsi="Times New Roman"/>
                <w:sz w:val="18"/>
              </w:rPr>
              <w:t>0.0550</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0.0217*</w:t>
            </w:r>
          </w:p>
        </w:tc>
        <w:tc>
          <w:tcPr>
            <w:tcW w:type="dxa" w:w="1170"/>
          </w:tcPr>
          <w:p>
            <w:pPr>
              <w:jc w:val="center"/>
            </w:pPr>
            <w:r/>
            <w:r>
              <w:rPr>
                <w:rFonts w:ascii="Times New Roman" w:hAnsi="Times New Roman"/>
                <w:sz w:val="18"/>
              </w:rPr>
              <w:t>5.20</w:t>
            </w:r>
          </w:p>
        </w:tc>
        <w:tc>
          <w:tcPr>
            <w:tcW w:type="dxa" w:w="1170"/>
          </w:tcPr>
          <w:p>
            <w:pPr>
              <w:jc w:val="center"/>
            </w:pPr>
            <w:r/>
            <w:r>
              <w:rPr>
                <w:rFonts w:ascii="Times New Roman" w:hAnsi="Times New Roman"/>
                <w:sz w:val="18"/>
              </w:rPr>
              <w:t>0.0627</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1.04</w:t>
            </w:r>
          </w:p>
        </w:tc>
        <w:tc>
          <w:tcPr>
            <w:tcW w:type="dxa" w:w="1170"/>
          </w:tcPr>
          <w:p>
            <w:pPr>
              <w:jc w:val="center"/>
            </w:pPr>
            <w:r/>
            <w:r>
              <w:rPr>
                <w:rFonts w:ascii="Times New Roman" w:hAnsi="Times New Roman"/>
                <w:sz w:val="18"/>
              </w:rPr>
              <w:t>0.3481</w:t>
            </w:r>
          </w:p>
        </w:tc>
        <w:tc>
          <w:tcPr>
            <w:tcW w:type="dxa" w:w="1170"/>
          </w:tcPr>
          <w:p>
            <w:pPr>
              <w:jc w:val="center"/>
            </w:pPr>
            <w:r/>
            <w:r>
              <w:rPr>
                <w:rFonts w:ascii="Times New Roman" w:hAnsi="Times New Roman"/>
                <w:sz w:val="18"/>
              </w:rPr>
              <w:t>4.43</w:t>
            </w:r>
          </w:p>
        </w:tc>
        <w:tc>
          <w:tcPr>
            <w:tcW w:type="dxa" w:w="1170"/>
          </w:tcPr>
          <w:p>
            <w:pPr>
              <w:jc w:val="center"/>
            </w:pPr>
            <w:r/>
            <w:r>
              <w:rPr>
                <w:rFonts w:ascii="Times New Roman" w:hAnsi="Times New Roman"/>
                <w:sz w:val="18"/>
              </w:rPr>
              <w:t>0.1273</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0.29</w:t>
            </w:r>
          </w:p>
        </w:tc>
        <w:tc>
          <w:tcPr>
            <w:tcW w:type="dxa" w:w="1170"/>
          </w:tcPr>
          <w:p>
            <w:pPr>
              <w:jc w:val="center"/>
            </w:pPr>
            <w:r/>
            <w:r>
              <w:rPr>
                <w:rFonts w:ascii="Times New Roman" w:hAnsi="Times New Roman"/>
                <w:sz w:val="18"/>
              </w:rPr>
              <w:t>0.6120</w:t>
            </w:r>
          </w:p>
        </w:tc>
        <w:tc>
          <w:tcPr>
            <w:tcW w:type="dxa" w:w="1170"/>
          </w:tcPr>
          <w:p>
            <w:pPr>
              <w:jc w:val="center"/>
            </w:pPr>
            <w:r/>
            <w:r>
              <w:rPr>
                <w:rFonts w:ascii="Times New Roman" w:hAnsi="Times New Roman"/>
                <w:sz w:val="18"/>
              </w:rPr>
              <w:t>0.90</w:t>
            </w:r>
          </w:p>
        </w:tc>
        <w:tc>
          <w:tcPr>
            <w:tcW w:type="dxa" w:w="1170"/>
          </w:tcPr>
          <w:p>
            <w:pPr>
              <w:jc w:val="center"/>
            </w:pPr>
            <w:r/>
            <w:r>
              <w:rPr>
                <w:rFonts w:ascii="Times New Roman" w:hAnsi="Times New Roman"/>
                <w:sz w:val="18"/>
              </w:rPr>
              <w:t>0.4946</w:t>
            </w:r>
          </w:p>
        </w:tc>
      </w:tr>
    </w:tbl>
    <w:p/>
    <w:p>
      <w:pPr>
        <w:pStyle w:val="Heading2"/>
      </w:pPr>
      <w:r>
        <w:rPr>
          <w:rFonts w:ascii="Times New Roman" w:hAnsi="Times New Roman"/>
          <w:color w:val="000000"/>
        </w:rPr>
        <w:t>Impulse response functions</w:t>
      </w:r>
    </w:p>
    <w:p>
      <w:pPr>
        <w:spacing w:after="120" w:line="480" w:lineRule="auto"/>
      </w:pPr>
      <w:r>
        <w:rPr>
          <w:rFonts w:ascii="Times New Roman" w:hAnsi="Times New Roman"/>
          <w:b w:val="0"/>
          <w:i w:val="0"/>
          <w:sz w:val="24"/>
        </w:rPr>
        <w:t>Figure 2 shows IRFs for physician counts in response to a one-unit litigation shock for six key specialties. Obstetrics and gynaecology demonstrated a sustained negative response peaking at 2–3 years and persisting for approximately 5 years. General surgery showed a similar pattern attenuating by year 4. Facility-count IRFs are shown in Figure 3.</w:t>
      </w:r>
    </w:p>
    <w:p>
      <w:pPr>
        <w:spacing w:before="240" w:after="120" w:line="480" w:lineRule="auto"/>
      </w:pPr>
      <w:r>
        <w:rPr>
          <w:rFonts w:ascii="Times New Roman" w:hAnsi="Times New Roman"/>
          <w:b/>
          <w:sz w:val="20"/>
        </w:rPr>
        <w:t>Figure 2. IRF: physician count response to a one-unit litigation shock.</w:t>
      </w:r>
    </w:p>
    <w:p>
      <w:pPr>
        <w:jc w:val="center"/>
      </w:pPr>
      <w:r>
        <w:drawing>
          <wp:inline xmlns:a="http://schemas.openxmlformats.org/drawingml/2006/main" xmlns:pic="http://schemas.openxmlformats.org/drawingml/2006/picture">
            <wp:extent cx="5029200" cy="5927271"/>
            <wp:docPr id="2" name="Picture 2"/>
            <wp:cNvGraphicFramePr>
              <a:graphicFrameLocks noChangeAspect="1"/>
            </wp:cNvGraphicFramePr>
            <a:graphic>
              <a:graphicData uri="http://schemas.openxmlformats.org/drawingml/2006/picture">
                <pic:pic>
                  <pic:nvPicPr>
                    <pic:cNvPr id="0" name="fig2_irf_physicians.png"/>
                    <pic:cNvPicPr/>
                  </pic:nvPicPr>
                  <pic:blipFill>
                    <a:blip r:embed="rId10"/>
                    <a:stretch>
                      <a:fillRect/>
                    </a:stretch>
                  </pic:blipFill>
                  <pic:spPr>
                    <a:xfrm>
                      <a:off x="0" y="0"/>
                      <a:ext cx="5029200" cy="5927271"/>
                    </a:xfrm>
                    <a:prstGeom prst="rect"/>
                  </pic:spPr>
                </pic:pic>
              </a:graphicData>
            </a:graphic>
          </wp:inline>
        </w:drawing>
      </w:r>
    </w:p>
    <w:p/>
    <w:p>
      <w:pPr>
        <w:spacing w:before="240" w:after="120" w:line="480" w:lineRule="auto"/>
      </w:pPr>
      <w:r>
        <w:rPr>
          <w:rFonts w:ascii="Times New Roman" w:hAnsi="Times New Roman"/>
          <w:b/>
          <w:sz w:val="20"/>
        </w:rPr>
        <w:t>Figure 3. IRF: facility count response to a one-unit litigation shock.</w:t>
      </w:r>
    </w:p>
    <w:p>
      <w:pPr>
        <w:jc w:val="center"/>
      </w:pPr>
      <w:r>
        <w:drawing>
          <wp:inline xmlns:a="http://schemas.openxmlformats.org/drawingml/2006/main" xmlns:pic="http://schemas.openxmlformats.org/drawingml/2006/picture">
            <wp:extent cx="5029200" cy="5927271"/>
            <wp:docPr id="3" name="Picture 3"/>
            <wp:cNvGraphicFramePr>
              <a:graphicFrameLocks noChangeAspect="1"/>
            </wp:cNvGraphicFramePr>
            <a:graphic>
              <a:graphicData uri="http://schemas.openxmlformats.org/drawingml/2006/picture">
                <pic:pic>
                  <pic:nvPicPr>
                    <pic:cNvPr id="0" name="sfig1_irf_facilities.png"/>
                    <pic:cNvPicPr/>
                  </pic:nvPicPr>
                  <pic:blipFill>
                    <a:blip r:embed="rId11"/>
                    <a:stretch>
                      <a:fillRect/>
                    </a:stretch>
                  </pic:blipFill>
                  <pic:spPr>
                    <a:xfrm>
                      <a:off x="0" y="0"/>
                      <a:ext cx="5029200" cy="5927271"/>
                    </a:xfrm>
                    <a:prstGeom prst="rect"/>
                  </pic:spPr>
                </pic:pic>
              </a:graphicData>
            </a:graphic>
          </wp:inline>
        </w:drawing>
      </w:r>
    </w:p>
    <w:p/>
    <w:p>
      <w:r>
        <w:br w:type="page"/>
      </w:r>
    </w:p>
    <w:p>
      <w:pPr>
        <w:pStyle w:val="Heading2"/>
      </w:pPr>
      <w:r>
        <w:rPr>
          <w:rFonts w:ascii="Times New Roman" w:hAnsi="Times New Roman"/>
          <w:color w:val="000000"/>
        </w:rPr>
        <w:t>VAR-based forecasts</w:t>
      </w:r>
    </w:p>
    <w:p>
      <w:pPr>
        <w:spacing w:after="120" w:line="480" w:lineRule="auto"/>
      </w:pPr>
      <w:r>
        <w:rPr>
          <w:rFonts w:ascii="Times New Roman" w:hAnsi="Times New Roman"/>
          <w:b w:val="0"/>
          <w:i w:val="0"/>
          <w:sz w:val="24"/>
        </w:rPr>
        <w:t>Figure 4 presents VAR-based forecasts for physician and facility counts. General surgery is projected to continue declining (physicians: −230/year; facilities: −310/year through 2033). Obstetrics and gynaecology physician counts show modest growth while facilities decline. Table 3 summarises forecast values.</w:t>
      </w:r>
    </w:p>
    <w:p>
      <w:pPr>
        <w:spacing w:before="240" w:after="120" w:line="480" w:lineRule="auto"/>
      </w:pPr>
      <w:r>
        <w:rPr>
          <w:rFonts w:ascii="Times New Roman" w:hAnsi="Times New Roman"/>
          <w:b/>
          <w:sz w:val="20"/>
        </w:rPr>
        <w:t>Figure 4. VAR-based forecasts of physician and facility counts (2024–2033).</w:t>
      </w:r>
    </w:p>
    <w:p>
      <w:pPr>
        <w:jc w:val="center"/>
      </w:pPr>
      <w:r>
        <w:drawing>
          <wp:inline xmlns:a="http://schemas.openxmlformats.org/drawingml/2006/main" xmlns:pic="http://schemas.openxmlformats.org/drawingml/2006/picture">
            <wp:extent cx="5029200" cy="5925851"/>
            <wp:docPr id="4" name="Picture 4"/>
            <wp:cNvGraphicFramePr>
              <a:graphicFrameLocks noChangeAspect="1"/>
            </wp:cNvGraphicFramePr>
            <a:graphic>
              <a:graphicData uri="http://schemas.openxmlformats.org/drawingml/2006/picture">
                <pic:pic>
                  <pic:nvPicPr>
                    <pic:cNvPr id="0" name="fig3_var_forecasts.png"/>
                    <pic:cNvPicPr/>
                  </pic:nvPicPr>
                  <pic:blipFill>
                    <a:blip r:embed="rId12"/>
                    <a:stretch>
                      <a:fillRect/>
                    </a:stretch>
                  </pic:blipFill>
                  <pic:spPr>
                    <a:xfrm>
                      <a:off x="0" y="0"/>
                      <a:ext cx="5029200" cy="5925851"/>
                    </a:xfrm>
                    <a:prstGeom prst="rect"/>
                  </pic:spPr>
                </pic:pic>
              </a:graphicData>
            </a:graphic>
          </wp:inline>
        </w:drawing>
      </w:r>
    </w:p>
    <w:p/>
    <w:p>
      <w:pPr>
        <w:spacing w:after="120" w:before="240" w:line="480" w:lineRule="auto"/>
      </w:pPr>
      <w:r>
        <w:rPr>
          <w:rFonts w:ascii="Times New Roman" w:hAnsi="Times New Roman"/>
          <w:b/>
          <w:sz w:val="20"/>
        </w:rPr>
        <w:t>Table 3. VAR-based workforce forecasts for selected specialties.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2028 (forecast)</w:t>
            </w:r>
          </w:p>
        </w:tc>
        <w:tc>
          <w:tcPr>
            <w:tcW w:type="dxa" w:w="2340"/>
          </w:tcPr>
          <w:p>
            <w:pPr>
              <w:jc w:val="center"/>
            </w:pPr>
            <w:r/>
            <w:r>
              <w:rPr>
                <w:rFonts w:ascii="Times New Roman" w:hAnsi="Times New Roman"/>
                <w:b/>
                <w:sz w:val="18"/>
              </w:rPr>
              <w:t>2033 (forecast)</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14,495</w:t>
            </w:r>
          </w:p>
        </w:tc>
        <w:tc>
          <w:tcPr>
            <w:tcW w:type="dxa" w:w="2340"/>
          </w:tcPr>
          <w:p>
            <w:pPr>
              <w:jc w:val="center"/>
            </w:pPr>
            <w:r/>
            <w:r>
              <w:rPr>
                <w:rFonts w:ascii="Times New Roman" w:hAnsi="Times New Roman"/>
                <w:sz w:val="18"/>
              </w:rPr>
              <w:t>14,492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14,046</w:t>
            </w:r>
          </w:p>
        </w:tc>
        <w:tc>
          <w:tcPr>
            <w:tcW w:type="dxa" w:w="2340"/>
          </w:tcPr>
          <w:p>
            <w:pPr>
              <w:jc w:val="center"/>
            </w:pPr>
            <w:r/>
            <w:r>
              <w:rPr>
                <w:rFonts w:ascii="Times New Roman" w:hAnsi="Times New Roman"/>
                <w:sz w:val="18"/>
              </w:rPr>
              <w:t>14,188</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12,584</w:t>
            </w:r>
          </w:p>
        </w:tc>
        <w:tc>
          <w:tcPr>
            <w:tcW w:type="dxa" w:w="2340"/>
          </w:tcPr>
          <w:p>
            <w:pPr>
              <w:jc w:val="center"/>
            </w:pPr>
            <w:r/>
            <w:r>
              <w:rPr>
                <w:rFonts w:ascii="Times New Roman" w:hAnsi="Times New Roman"/>
                <w:sz w:val="18"/>
              </w:rPr>
              <w:t>12,935</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5,264</w:t>
            </w:r>
          </w:p>
        </w:tc>
        <w:tc>
          <w:tcPr>
            <w:tcW w:type="dxa" w:w="2340"/>
          </w:tcPr>
          <w:p>
            <w:pPr>
              <w:jc w:val="center"/>
            </w:pPr>
            <w:r/>
            <w:r>
              <w:rPr>
                <w:rFonts w:ascii="Times New Roman" w:hAnsi="Times New Roman"/>
                <w:sz w:val="18"/>
              </w:rPr>
              <w:t>4,934</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64,552</w:t>
            </w:r>
          </w:p>
        </w:tc>
        <w:tc>
          <w:tcPr>
            <w:tcW w:type="dxa" w:w="2340"/>
          </w:tcPr>
          <w:p>
            <w:pPr>
              <w:jc w:val="center"/>
            </w:pPr>
            <w:r/>
            <w:r>
              <w:rPr>
                <w:rFonts w:ascii="Times New Roman" w:hAnsi="Times New Roman"/>
                <w:sz w:val="18"/>
              </w:rPr>
              <w:t>63,045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65,750</w:t>
            </w:r>
          </w:p>
        </w:tc>
        <w:tc>
          <w:tcPr>
            <w:tcW w:type="dxa" w:w="2340"/>
          </w:tcPr>
          <w:p>
            <w:pPr>
              <w:jc w:val="center"/>
            </w:pPr>
            <w:r/>
            <w:r>
              <w:rPr>
                <w:rFonts w:ascii="Times New Roman" w:hAnsi="Times New Roman"/>
                <w:sz w:val="18"/>
              </w:rPr>
              <w:t>65,011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19,945</w:t>
            </w:r>
          </w:p>
        </w:tc>
        <w:tc>
          <w:tcPr>
            <w:tcW w:type="dxa" w:w="2340"/>
          </w:tcPr>
          <w:p>
            <w:pPr>
              <w:jc w:val="center"/>
            </w:pPr>
            <w:r/>
            <w:r>
              <w:rPr>
                <w:rFonts w:ascii="Times New Roman" w:hAnsi="Times New Roman"/>
                <w:sz w:val="18"/>
              </w:rPr>
              <w:t>21,462</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19,396</w:t>
            </w:r>
          </w:p>
        </w:tc>
        <w:tc>
          <w:tcPr>
            <w:tcW w:type="dxa" w:w="2340"/>
          </w:tcPr>
          <w:p>
            <w:pPr>
              <w:jc w:val="center"/>
            </w:pPr>
            <w:r/>
            <w:r>
              <w:rPr>
                <w:rFonts w:ascii="Times New Roman" w:hAnsi="Times New Roman"/>
                <w:sz w:val="18"/>
              </w:rPr>
              <w:t>19,137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23,069</w:t>
            </w:r>
          </w:p>
        </w:tc>
        <w:tc>
          <w:tcPr>
            <w:tcW w:type="dxa" w:w="2340"/>
          </w:tcPr>
          <w:p>
            <w:pPr>
              <w:jc w:val="center"/>
            </w:pPr>
            <w:r/>
            <w:r>
              <w:rPr>
                <w:rFonts w:ascii="Times New Roman" w:hAnsi="Times New Roman"/>
                <w:sz w:val="18"/>
              </w:rPr>
              <w:t>23,393</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15,693</w:t>
            </w:r>
          </w:p>
        </w:tc>
        <w:tc>
          <w:tcPr>
            <w:tcW w:type="dxa" w:w="2340"/>
          </w:tcPr>
          <w:p>
            <w:pPr>
              <w:jc w:val="center"/>
            </w:pPr>
            <w:r/>
            <w:r>
              <w:rPr>
                <w:rFonts w:ascii="Times New Roman" w:hAnsi="Times New Roman"/>
                <w:sz w:val="18"/>
              </w:rPr>
              <w:t>16,992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11,529</w:t>
            </w:r>
          </w:p>
        </w:tc>
        <w:tc>
          <w:tcPr>
            <w:tcW w:type="dxa" w:w="2340"/>
          </w:tcPr>
          <w:p>
            <w:pPr>
              <w:jc w:val="center"/>
            </w:pPr>
            <w:r/>
            <w:r>
              <w:rPr>
                <w:rFonts w:ascii="Times New Roman" w:hAnsi="Times New Roman"/>
                <w:sz w:val="18"/>
              </w:rPr>
              <w:t>12,380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3,656</w:t>
            </w:r>
          </w:p>
        </w:tc>
        <w:tc>
          <w:tcPr>
            <w:tcW w:type="dxa" w:w="2340"/>
          </w:tcPr>
          <w:p>
            <w:pPr>
              <w:jc w:val="center"/>
            </w:pPr>
            <w:r/>
            <w:r>
              <w:rPr>
                <w:rFonts w:ascii="Times New Roman" w:hAnsi="Times New Roman"/>
                <w:sz w:val="18"/>
              </w:rPr>
              <w:t>4,161</w:t>
            </w:r>
          </w:p>
        </w:tc>
      </w:tr>
    </w:tbl>
    <w:p/>
    <w:p>
      <w:pPr>
        <w:pStyle w:val="Heading2"/>
      </w:pPr>
      <w:r>
        <w:rPr>
          <w:rFonts w:ascii="Times New Roman" w:hAnsi="Times New Roman"/>
          <w:color w:val="000000"/>
        </w:rPr>
        <w:t>Trainee correlations</w:t>
      </w:r>
    </w:p>
    <w:p>
      <w:pPr>
        <w:spacing w:after="120" w:line="480" w:lineRule="auto"/>
      </w:pPr>
      <w:r>
        <w:rPr>
          <w:rFonts w:ascii="Times New Roman" w:hAnsi="Times New Roman"/>
          <w:b w:val="0"/>
          <w:i w:val="0"/>
          <w:sz w:val="24"/>
        </w:rPr>
        <w:t>Detrended correlations between JMSR incidents and specialist trainee enrolment (2018–2025, n = 8) showed notable negative associations for psychiatry (r = −0.77, P = 0.025), anaesthesiology (r = −0.77, P = 0.026), and obstetrics and gynaecology (r = −0.70, P = 0.051).</w:t>
      </w:r>
    </w:p>
    <w:p>
      <w:r>
        <w:br w:type="page"/>
      </w:r>
    </w:p>
    <w:p>
      <w:pPr>
        <w:pStyle w:val="Heading1"/>
      </w:pPr>
      <w:r>
        <w:rPr>
          <w:rFonts w:ascii="Times New Roman" w:hAnsi="Times New Roman"/>
          <w:color w:val="000000"/>
        </w:rPr>
        <w:t>Discussion</w:t>
      </w:r>
    </w:p>
    <w:p>
      <w:pPr>
        <w:spacing w:after="120" w:line="480" w:lineRule="auto"/>
      </w:pPr>
      <w:r>
        <w:rPr>
          <w:rFonts w:ascii="Times New Roman" w:hAnsi="Times New Roman"/>
          <w:b w:val="0"/>
          <w:i w:val="0"/>
          <w:sz w:val="24"/>
        </w:rPr>
        <w:t>This study provides the first multi-specialty application of Granger causality testing to the relationship between medical safety incidents and physician workforce dynamics. Litigation statistics Granger-caused physician counts in 9 of 12 specialties and facility counts in 9 of 12, with obstetrics and gynaecology showing the strongest association (F = 46.66, P &lt; 0.001).</w:t>
      </w:r>
    </w:p>
    <w:p>
      <w:pPr>
        <w:spacing w:after="120" w:line="480" w:lineRule="auto"/>
      </w:pPr>
      <w:r>
        <w:rPr>
          <w:rFonts w:ascii="Times New Roman" w:hAnsi="Times New Roman"/>
          <w:b w:val="0"/>
          <w:i w:val="0"/>
          <w:sz w:val="24"/>
        </w:rPr>
        <w:t>The VAR/Granger framework addresses key limitations of prior ITS analyses:</w:t>
      </w:r>
      <w:r>
        <w:rPr>
          <w:rFonts w:ascii="Times New Roman" w:hAnsi="Times New Roman"/>
          <w:b w:val="0"/>
          <w:i w:val="0"/>
          <w:sz w:val="20"/>
          <w:vertAlign w:val="superscript"/>
        </w:rPr>
        <w:t>13</w:t>
      </w:r>
      <w:r>
        <w:rPr>
          <w:rFonts w:ascii="Times New Roman" w:hAnsi="Times New Roman"/>
          <w:b w:val="0"/>
          <w:i w:val="0"/>
          <w:sz w:val="24"/>
        </w:rPr>
        <w:t xml:space="preserve"> it does not require an exogenous intervention point, provides formal predictive-causality tests, controls for shared trends through stationarity testing, and generates multivariate forecasts grounded in estimated dynamics.</w:t>
      </w:r>
    </w:p>
    <w:p>
      <w:pPr>
        <w:pStyle w:val="Heading2"/>
      </w:pPr>
      <w:r>
        <w:rPr>
          <w:rFonts w:ascii="Times New Roman" w:hAnsi="Times New Roman"/>
          <w:color w:val="000000"/>
        </w:rPr>
        <w:t>Bidirectional causality and the vicious cycle</w:t>
      </w:r>
    </w:p>
    <w:p>
      <w:pPr>
        <w:spacing w:after="120" w:line="480" w:lineRule="auto"/>
      </w:pPr>
      <w:r>
        <w:rPr>
          <w:rFonts w:ascii="Times New Roman" w:hAnsi="Times New Roman"/>
          <w:b w:val="0"/>
          <w:i w:val="0"/>
          <w:sz w:val="24"/>
        </w:rPr>
        <w:t>Bidirectional Granger causality in 7 specialty–outcome combinations suggests a reinforcing cycle. Forward causality (incidents → workforce decline) reflects "incident avoidance": high-profile safety events deter specialty entry and accelerate exit.</w:t>
      </w:r>
      <w:r>
        <w:rPr>
          <w:rFonts w:ascii="Times New Roman" w:hAnsi="Times New Roman"/>
          <w:b w:val="0"/>
          <w:i w:val="0"/>
          <w:sz w:val="20"/>
          <w:vertAlign w:val="superscript"/>
        </w:rPr>
        <w:t>1,9</w:t>
      </w:r>
      <w:r>
        <w:rPr>
          <w:rFonts w:ascii="Times New Roman" w:hAnsi="Times New Roman"/>
          <w:b w:val="0"/>
          <w:i w:val="0"/>
          <w:sz w:val="24"/>
        </w:rPr>
        <w:t xml:space="preserve"> Reverse causality (workforce decline → incidents) reflects an "overwork" pathway: fewer physicians per caseload increases fatigue, reduces supervision, and raises incident risk.</w:t>
      </w:r>
      <w:r>
        <w:rPr>
          <w:rFonts w:ascii="Times New Roman" w:hAnsi="Times New Roman"/>
          <w:b w:val="0"/>
          <w:i w:val="0"/>
          <w:sz w:val="20"/>
          <w:vertAlign w:val="superscript"/>
        </w:rPr>
        <w:t>23</w:t>
      </w:r>
      <w:r>
        <w:rPr>
          <w:rFonts w:ascii="Times New Roman" w:hAnsi="Times New Roman"/>
          <w:b w:val="0"/>
          <w:i w:val="0"/>
          <w:sz w:val="24"/>
        </w:rPr>
        <w:t xml:space="preserve"> The coexistence of both pathways in obstetrics, paediatrics, and general surgery defines the specialties most vulnerable to self-perpetuating decline.</w:t>
      </w:r>
    </w:p>
    <w:p>
      <w:pPr>
        <w:pStyle w:val="Heading2"/>
      </w:pPr>
      <w:r>
        <w:rPr>
          <w:rFonts w:ascii="Times New Roman" w:hAnsi="Times New Roman"/>
          <w:color w:val="000000"/>
        </w:rPr>
        <w:t>Context: work-style reform</w:t>
      </w:r>
    </w:p>
    <w:p>
      <w:pPr>
        <w:spacing w:after="120" w:line="480" w:lineRule="auto"/>
      </w:pPr>
      <w:r>
        <w:rPr>
          <w:rFonts w:ascii="Times New Roman" w:hAnsi="Times New Roman"/>
          <w:b w:val="0"/>
          <w:i w:val="0"/>
          <w:sz w:val="24"/>
        </w:rPr>
        <w:t>Our findings must be interpreted against the backdrop of Japan’s evolving physician labour market. The April 2024 work-style reform caps annual overtime at 960 hours (A-level) with transitional exceptions (B/C-level at 1,860 hours).</w:t>
      </w:r>
      <w:r>
        <w:rPr>
          <w:rFonts w:ascii="Times New Roman" w:hAnsi="Times New Roman"/>
          <w:b w:val="0"/>
          <w:i w:val="0"/>
          <w:sz w:val="20"/>
          <w:vertAlign w:val="superscript"/>
        </w:rPr>
        <w:t>5</w:t>
      </w:r>
      <w:r>
        <w:rPr>
          <w:rFonts w:ascii="Times New Roman" w:hAnsi="Times New Roman"/>
          <w:b w:val="0"/>
          <w:i w:val="0"/>
          <w:sz w:val="24"/>
        </w:rPr>
        <w:t xml:space="preserve"> While intended to improve physician well-being, the reform has produced several unintended consequences. Restrictions on "gaikin"—historically an important income supplement for hospital-based physicians—have reduced the financial attractiveness of demanding specialties. Moreover, deemed self-study, whereby hours exceeding the cap are reclassified as voluntary training rather than labour, has paradoxically increased uncompensated workload for mid-career physicians while failing to improve working conditions for trainees.</w:t>
      </w:r>
      <w:r>
        <w:rPr>
          <w:rFonts w:ascii="Times New Roman" w:hAnsi="Times New Roman"/>
          <w:b w:val="0"/>
          <w:i w:val="0"/>
          <w:sz w:val="20"/>
          <w:vertAlign w:val="superscript"/>
        </w:rPr>
        <w:t>6</w:t>
      </w:r>
    </w:p>
    <w:p>
      <w:pPr>
        <w:spacing w:after="120" w:line="480" w:lineRule="auto"/>
      </w:pPr>
      <w:r>
        <w:rPr>
          <w:rFonts w:ascii="Times New Roman" w:hAnsi="Times New Roman"/>
          <w:b w:val="0"/>
          <w:i w:val="0"/>
          <w:sz w:val="24"/>
        </w:rPr>
        <w:t>Our Granger causality results illuminate the push side of this equation: safety incidents actively drive physicians away from high-risk specialties over a 3–5 year horizon. When combined with the reduced financial incentives imposed by work-style reform, the result is an accelerating workforce crisis in precisely those specialties that society most needs—surgery, obstetrics, emergency medicine, and paediatrics.</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Breaking the vicious cycle requires interventions targeting both pathways. On the push side, improved post-incident support, no-fault compensation systems, and balanced media reporting could reduce the deterrent effect of safety events.</w:t>
      </w:r>
      <w:r>
        <w:rPr>
          <w:rFonts w:ascii="Times New Roman" w:hAnsi="Times New Roman"/>
          <w:b w:val="0"/>
          <w:i w:val="0"/>
          <w:sz w:val="20"/>
          <w:vertAlign w:val="superscript"/>
        </w:rPr>
        <w:t>7,24</w:t>
      </w:r>
      <w:r>
        <w:rPr>
          <w:rFonts w:ascii="Times New Roman" w:hAnsi="Times New Roman"/>
          <w:b w:val="0"/>
          <w:i w:val="0"/>
          <w:sz w:val="24"/>
        </w:rPr>
        <w:t xml:space="preserve"> On the pull side, the Ministry of Health, Labour and Welfare’s 2024 draft measures to restrict new clinic openings in physician-surplus areas may function to attenuate the outflow from essential specialties. The IRF results, showing 3–5 year effect duration, define a critical intervention window during which combined regulatory and incentive-based policies could be most effective.</w:t>
      </w:r>
    </w:p>
    <w:p>
      <w:pPr>
        <w:spacing w:after="120" w:line="480" w:lineRule="auto"/>
      </w:pPr>
      <w:r>
        <w:rPr>
          <w:rFonts w:ascii="Times New Roman" w:hAnsi="Times New Roman"/>
          <w:b w:val="0"/>
          <w:i w:val="0"/>
          <w:sz w:val="24"/>
        </w:rPr>
        <w:t>Workforce planning models should incorporate the temporal lag parameters estimated here. The projected decline in general surgery (−230 physicians/year) and facilities (−310/year) demands urgent policy attention, particularly given the reform-driven constraints on existing workforce capacity.</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include population-level data from mandatory national registries across 12 specialties over up to 20 years, and the application of VAR/Granger methodology suited to continuously varying exposures.</w:t>
      </w:r>
    </w:p>
    <w:p>
      <w:pPr>
        <w:spacing w:after="120" w:line="480" w:lineRule="auto"/>
      </w:pPr>
      <w:r>
        <w:rPr>
          <w:rFonts w:ascii="Times New Roman" w:hAnsi="Times New Roman"/>
          <w:b w:val="0"/>
          <w:i w:val="0"/>
          <w:sz w:val="24"/>
        </w:rPr>
        <w:t>Limitations include the ecological study design precluding individual-level causal inference; biennial physician data requiring interpolation; limited power in the JMSR series (11 years); and unmeasured confounders including demographic shifts, the 2004 postgraduate training reform, and the direct effects of work-style reform itself (which overlaps temporally with the most recent data points). Importantly, our 12-specialty framework does not capture career paths that fall outside conventional specialty registration, notably aesthetic medicine</w:t>
      </w:r>
      <w:r>
        <w:rPr>
          <w:rFonts w:ascii="Times New Roman" w:hAnsi="Times New Roman"/>
          <w:b w:val="0"/>
          <w:i w:val="0"/>
          <w:sz w:val="20"/>
          <w:vertAlign w:val="superscript"/>
        </w:rPr>
        <w:t>25,26</w:t>
      </w:r>
      <w:r>
        <w:rPr>
          <w:rFonts w:ascii="Times New Roman" w:hAnsi="Times New Roman"/>
          <w:b w:val="0"/>
          <w:i w:val="0"/>
          <w:sz w:val="24"/>
        </w:rPr>
        <w:t xml:space="preserve"> and occupational medicine.</w:t>
      </w:r>
      <w:r>
        <w:rPr>
          <w:rFonts w:ascii="Times New Roman" w:hAnsi="Times New Roman"/>
          <w:b w:val="0"/>
          <w:i w:val="0"/>
          <w:sz w:val="20"/>
          <w:vertAlign w:val="superscript"/>
        </w:rPr>
        <w:t>27,28</w:t>
      </w:r>
      <w:r>
        <w:rPr>
          <w:rFonts w:ascii="Times New Roman" w:hAnsi="Times New Roman"/>
          <w:b w:val="0"/>
          <w:i w:val="0"/>
          <w:sz w:val="24"/>
        </w:rPr>
        <w:t xml:space="preserve"> The growing migration of early-career physicians into these non-traditionally-classified sectors may confound our estimates; to the extent that pull-driven exits correlate temporally with incident trends, our models may overestimate the incident-attributable component of workforce decline. Low retention among occupational physicians (55–65% turnover within 2 years)</w:t>
      </w:r>
      <w:r>
        <w:rPr>
          <w:rFonts w:ascii="Times New Roman" w:hAnsi="Times New Roman"/>
          <w:b w:val="0"/>
          <w:i w:val="0"/>
          <w:sz w:val="20"/>
          <w:vertAlign w:val="superscript"/>
        </w:rPr>
        <w:t>28</w:t>
      </w:r>
      <w:r>
        <w:rPr>
          <w:rFonts w:ascii="Times New Roman" w:hAnsi="Times New Roman"/>
          <w:b w:val="0"/>
          <w:i w:val="0"/>
          <w:sz w:val="24"/>
        </w:rPr>
        <w:t xml:space="preserve"> further complicates workforce planning assumptions.</w:t>
      </w:r>
    </w:p>
    <w:p>
      <w:pPr>
        <w:pStyle w:val="Heading2"/>
      </w:pPr>
      <w:r>
        <w:rPr>
          <w:rFonts w:ascii="Times New Roman" w:hAnsi="Times New Roman"/>
          <w:color w:val="000000"/>
        </w:rPr>
        <w:t>Conclusions</w:t>
      </w:r>
    </w:p>
    <w:p>
      <w:pPr>
        <w:spacing w:after="120" w:line="480" w:lineRule="auto"/>
      </w:pPr>
      <w:r>
        <w:rPr>
          <w:rFonts w:ascii="Times New Roman" w:hAnsi="Times New Roman"/>
          <w:b w:val="0"/>
          <w:i w:val="0"/>
          <w:sz w:val="24"/>
        </w:rPr>
        <w:t>Medical safety incidents in Japan Granger-cause reductions in specialty-specific physician supply in 9 of 12 specialties, with effects persisting for 3–5 years. Bidirectional causality in obstetrics, paediatrics, and general surgery suggests a self-reinforcing shortage–incident cycle. In the context of work-style reform and career paths outside conventional specialty frameworks, these temporal dynamics pose an urgent threat to essential medical services. Integrated policy responses addressing both the push of safety incidents and the pull of alternative career paths are needed.</w:t>
      </w:r>
    </w:p>
    <w:p>
      <w:r>
        <w:br w:type="page"/>
      </w:r>
    </w:p>
    <w:p>
      <w:pPr>
        <w:pStyle w:val="Heading2"/>
      </w:pPr>
      <w:r>
        <w:rPr>
          <w:rFonts w:ascii="Times New Roman" w:hAnsi="Times New Roman"/>
          <w:color w:val="000000"/>
        </w:rPr>
        <w:t>Conflict of Interest</w:t>
      </w:r>
    </w:p>
    <w:p>
      <w:pPr>
        <w:spacing w:after="120" w:line="480" w:lineRule="auto"/>
      </w:pPr>
      <w:r>
        <w:rPr>
          <w:rFonts w:ascii="Times New Roman" w:hAnsi="Times New Roman"/>
          <w:b w:val="0"/>
          <w:i w:val="0"/>
          <w:sz w:val="24"/>
        </w:rPr>
        <w:t>The author declares no conflict of interest.</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None.</w:t>
      </w:r>
    </w:p>
    <w:p>
      <w:pPr>
        <w:pStyle w:val="Heading2"/>
      </w:pPr>
      <w:r>
        <w:rPr>
          <w:rFonts w:ascii="Times New Roman" w:hAnsi="Times New Roman"/>
          <w:color w:val="000000"/>
        </w:rPr>
        <w:t>Author Contributions</w:t>
      </w:r>
    </w:p>
    <w:p>
      <w:pPr>
        <w:spacing w:after="120" w:line="480" w:lineRule="auto"/>
      </w:pPr>
      <w:r>
        <w:rPr>
          <w:rFonts w:ascii="Times New Roman" w:hAnsi="Times New Roman"/>
          <w:b w:val="0"/>
          <w:i w:val="0"/>
          <w:sz w:val="24"/>
        </w:rPr>
        <w:t>TO conceived the study, acquired data, performed statistical analyses, and drafted the manuscript.</w:t>
      </w:r>
    </w:p>
    <w:p>
      <w:pPr>
        <w:pStyle w:val="Heading2"/>
      </w:pPr>
      <w:r>
        <w:rPr>
          <w:rFonts w:ascii="Times New Roman" w:hAnsi="Times New Roman"/>
          <w:color w:val="000000"/>
        </w:rPr>
        <w:t>Data Availability</w:t>
      </w:r>
    </w:p>
    <w:p>
      <w:pPr>
        <w:spacing w:after="120" w:line="480" w:lineRule="auto"/>
      </w:pPr>
      <w:r>
        <w:rPr>
          <w:rFonts w:ascii="Times New Roman" w:hAnsi="Times New Roman"/>
          <w:b w:val="0"/>
          <w:i w:val="0"/>
          <w:sz w:val="24"/>
        </w:rPr>
        <w:t>Analysis code and aggregated datasets are available at https://github.com/bougtoir/medical-accident-its-analysis.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Acknowledgements</w:t>
      </w:r>
    </w:p>
    <w:p>
      <w:pPr>
        <w:spacing w:after="120" w:line="480" w:lineRule="auto"/>
      </w:pPr>
      <w:r>
        <w:rPr>
          <w:rFonts w:ascii="Times New Roman" w:hAnsi="Times New Roman"/>
          <w:b w:val="0"/>
          <w:i w:val="0"/>
          <w:sz w:val="24"/>
        </w:rPr>
        <w:t>AI-assisted tools were used for coding assistance and manuscript drafting. The author takes full responsibility for the content and integrity of the work.</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Ikegami N, Yoo BK, Hashimoto H, et al. Japanese universal health coverage: evolution, achievements, and challenges. Lancet. 2011;378(9796):1106-15.</w:t>
      </w:r>
    </w:p>
    <w:p>
      <w:pPr>
        <w:spacing w:line="480" w:lineRule="auto" w:after="40"/>
      </w:pPr>
      <w:r>
        <w:rPr>
          <w:rFonts w:ascii="Times New Roman" w:hAnsi="Times New Roman"/>
          <w:sz w:val="20"/>
        </w:rPr>
        <w:t>2. Toyabe S. Trend in geographic distribution of physicians in Japan. Int J Equity Health. 2009;8:5.</w:t>
      </w:r>
    </w:p>
    <w:p>
      <w:pPr>
        <w:spacing w:line="480" w:lineRule="auto" w:after="40"/>
      </w:pPr>
      <w:r>
        <w:rPr>
          <w:rFonts w:ascii="Times New Roman" w:hAnsi="Times New Roman"/>
          <w:sz w:val="20"/>
        </w:rPr>
        <w:t>3. Ministry of Health, Labour and Welfare. Survey of physicians, dentists, and pharmacists 2022. Tokyo: MHLW; 2023. Japanese.</w:t>
      </w:r>
    </w:p>
    <w:p>
      <w:pPr>
        <w:spacing w:line="480" w:lineRule="auto" w:after="40"/>
      </w:pPr>
      <w:r>
        <w:rPr>
          <w:rFonts w:ascii="Times New Roman" w:hAnsi="Times New Roman"/>
          <w:sz w:val="20"/>
        </w:rPr>
        <w:t>4. Tanaka K, Katsumata Y, Matsuda S. Supply, demand and distribution of physicians in Japan. Keio J Med. 2024;doi:10.46308/kmj.2024.00087.</w:t>
      </w:r>
    </w:p>
    <w:p>
      <w:pPr>
        <w:spacing w:line="480" w:lineRule="auto" w:after="40"/>
      </w:pPr>
      <w:r>
        <w:rPr>
          <w:rFonts w:ascii="Times New Roman" w:hAnsi="Times New Roman"/>
          <w:sz w:val="20"/>
        </w:rPr>
        <w:t>5. Ishikawa T, Ohba H, Yokooka Y, et al. Labor shortage of physicians in rural areas and surgical specialties caused by Work Style Reform Policies of the Japanese government: a quantitative simulation analysis. J Rural Med. 2024;19(3):198-207.</w:t>
      </w:r>
    </w:p>
    <w:p>
      <w:pPr>
        <w:spacing w:line="480" w:lineRule="auto" w:after="40"/>
      </w:pPr>
      <w:r>
        <w:rPr>
          <w:rFonts w:ascii="Times New Roman" w:hAnsi="Times New Roman"/>
          <w:sz w:val="20"/>
        </w:rPr>
        <w:t>6. Japan Medical Association. Survey on physician work-style reform implementation status. Tokyo: JMA; 2024. Japanese.</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2009;22(2):199-206.</w:t>
      </w:r>
    </w:p>
    <w:p>
      <w:pPr>
        <w:spacing w:line="480" w:lineRule="auto" w:after="40"/>
      </w:pPr>
      <w:r>
        <w:rPr>
          <w:rFonts w:ascii="Times New Roman" w:hAnsi="Times New Roman"/>
          <w:sz w:val="20"/>
        </w:rPr>
        <w:t>8. Hiyama T, Yoshihara M, Tanaka S, et al. Defensive medicine practices among gastroenterologists in Japan. World J Gastroenterol. 2006;12(47):7671-5.</w:t>
      </w:r>
    </w:p>
    <w:p>
      <w:pPr>
        <w:spacing w:line="480" w:lineRule="auto" w:after="40"/>
      </w:pPr>
      <w:r>
        <w:rPr>
          <w:rFonts w:ascii="Times New Roman" w:hAnsi="Times New Roman"/>
          <w:sz w:val="20"/>
        </w:rPr>
        <w:t>9. Morita H. Criminal prosecution and physician supply. Int Rev Law Econ. 2018;55:1-11.</w:t>
      </w:r>
    </w:p>
    <w:p>
      <w:pPr>
        <w:spacing w:line="480" w:lineRule="auto" w:after="40"/>
      </w:pPr>
      <w:r>
        <w:rPr>
          <w:rFonts w:ascii="Times New Roman" w:hAnsi="Times New Roman"/>
          <w:sz w:val="20"/>
        </w:rPr>
        <w:t>10.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11. Supreme Court of Japan. Annual report of judicial statistics: medical malpractice litigation. Tokyo: Supreme Court; 2024. Japanese.</w:t>
      </w:r>
    </w:p>
    <w:p>
      <w:pPr>
        <w:spacing w:line="480" w:lineRule="auto" w:after="40"/>
      </w:pPr>
      <w:r>
        <w:rPr>
          <w:rFonts w:ascii="Times New Roman" w:hAnsi="Times New Roman"/>
          <w:sz w:val="20"/>
        </w:rPr>
        <w:t>12. Taniguchi K, Watari T, Nagoshi K. Characteristics and trends of medical malpractice claims in Japan between 2006 and 2021. PLoS One. 2024;19(1):e0296155.</w:t>
      </w:r>
    </w:p>
    <w:p>
      <w:pPr>
        <w:spacing w:line="480" w:lineRule="auto" w:after="40"/>
      </w:pPr>
      <w:r>
        <w:rPr>
          <w:rFonts w:ascii="Times New Roman" w:hAnsi="Times New Roman"/>
          <w:sz w:val="20"/>
        </w:rPr>
        <w:t>13. Granger CWJ. Investigating causal relations by econometric models and cross-spectral methods. Econometrica. 1969;37(3):424-38.</w:t>
      </w:r>
    </w:p>
    <w:p>
      <w:pPr>
        <w:spacing w:line="480" w:lineRule="auto" w:after="40"/>
      </w:pPr>
      <w:r>
        <w:rPr>
          <w:rFonts w:ascii="Times New Roman" w:hAnsi="Times New Roman"/>
          <w:sz w:val="20"/>
        </w:rPr>
        <w:t>14. Lütkepohl H. New Introduction to Multiple Time Series Analysis. Berlin: Springer; 2005.</w:t>
      </w:r>
    </w:p>
    <w:p>
      <w:pPr>
        <w:spacing w:line="480" w:lineRule="auto" w:after="40"/>
      </w:pPr>
      <w:r>
        <w:rPr>
          <w:rFonts w:ascii="Times New Roman" w:hAnsi="Times New Roman"/>
          <w:sz w:val="20"/>
        </w:rPr>
        <w:t>15. Toda HY, Yamamoto T. Statistical inference in vector autoregressions with possibly integrated processes. J Econom. 1995;66(1-2):225-50.</w:t>
      </w:r>
    </w:p>
    <w:p>
      <w:pPr>
        <w:spacing w:line="480" w:lineRule="auto" w:after="40"/>
      </w:pPr>
      <w:r>
        <w:rPr>
          <w:rFonts w:ascii="Times New Roman" w:hAnsi="Times New Roman"/>
          <w:sz w:val="20"/>
        </w:rPr>
        <w:t>16. Benchimol EI, Smeeth L, Guttmann A, et al. The REporting of studies Conducted using Observational Routinely-collected health Data (RECORD) statement. PLoS Med. 2015;12(10):e1001885.</w:t>
      </w:r>
    </w:p>
    <w:p>
      <w:pPr>
        <w:spacing w:line="480" w:lineRule="auto" w:after="40"/>
      </w:pPr>
      <w:r>
        <w:rPr>
          <w:rFonts w:ascii="Times New Roman" w:hAnsi="Times New Roman"/>
          <w:sz w:val="20"/>
        </w:rPr>
        <w:t>17. Ministry of Health, Labour and Welfare. Survey of physicians, dentists, and pharmacists. Tokyo: MHLW; 2024. Japanese.</w:t>
      </w:r>
    </w:p>
    <w:p>
      <w:pPr>
        <w:spacing w:line="480" w:lineRule="auto" w:after="40"/>
      </w:pPr>
      <w:r>
        <w:rPr>
          <w:rFonts w:ascii="Times New Roman" w:hAnsi="Times New Roman"/>
          <w:sz w:val="20"/>
        </w:rPr>
        <w:t>18. Ministry of Health, Labour and Welfare. Survey of medical institutions (dynamic survey). Tokyo: MHLW; 2024. Japanese.</w:t>
      </w:r>
    </w:p>
    <w:p>
      <w:pPr>
        <w:spacing w:line="480" w:lineRule="auto" w:after="40"/>
      </w:pPr>
      <w:r>
        <w:rPr>
          <w:rFonts w:ascii="Times New Roman" w:hAnsi="Times New Roman"/>
          <w:sz w:val="20"/>
        </w:rPr>
        <w:t>19. Japan Board of Medical Specialties. Specialist trainee registration statistics. Tokyo: JBMS; 2025. Japanese.</w:t>
      </w:r>
    </w:p>
    <w:p>
      <w:pPr>
        <w:spacing w:line="480" w:lineRule="auto" w:after="40"/>
      </w:pPr>
      <w:r>
        <w:rPr>
          <w:rFonts w:ascii="Times New Roman" w:hAnsi="Times New Roman"/>
          <w:sz w:val="20"/>
        </w:rPr>
        <w:t>20. Hamilton JD. Time Series Analysis. Princeton: Princeton University Press; 1994.</w:t>
      </w:r>
    </w:p>
    <w:p>
      <w:pPr>
        <w:spacing w:line="480" w:lineRule="auto" w:after="40"/>
      </w:pPr>
      <w:r>
        <w:rPr>
          <w:rFonts w:ascii="Times New Roman" w:hAnsi="Times New Roman"/>
          <w:sz w:val="20"/>
        </w:rPr>
        <w:t>21. Sims CA. Macroeconomics and reality. Econometrica. 1980;48(1):1-48.</w:t>
      </w:r>
    </w:p>
    <w:p>
      <w:pPr>
        <w:spacing w:line="480" w:lineRule="auto" w:after="40"/>
      </w:pPr>
      <w:r>
        <w:rPr>
          <w:rFonts w:ascii="Times New Roman" w:hAnsi="Times New Roman"/>
          <w:sz w:val="20"/>
        </w:rPr>
        <w:t>22. Seabold S, Perktold J. Statsmodels: econometric and statistical modeling with Python. Proc 9th Python Sci Conf. 2010:92-6.</w:t>
      </w:r>
    </w:p>
    <w:p>
      <w:pPr>
        <w:spacing w:line="480" w:lineRule="auto" w:after="40"/>
      </w:pPr>
      <w:r>
        <w:rPr>
          <w:rFonts w:ascii="Times New Roman" w:hAnsi="Times New Roman"/>
          <w:sz w:val="20"/>
        </w:rPr>
        <w:t>23. Studdert DM, Mello MM, Sage WM, et al. Defensive medicine among high-risk specialist physicians in a volatile malpractice environment. JAMA. 2005;293(21):2609-17.</w:t>
      </w:r>
    </w:p>
    <w:p>
      <w:pPr>
        <w:spacing w:line="480" w:lineRule="auto" w:after="40"/>
      </w:pPr>
      <w:r>
        <w:rPr>
          <w:rFonts w:ascii="Times New Roman" w:hAnsi="Times New Roman"/>
          <w:sz w:val="20"/>
        </w:rPr>
        <w:t>24. Currie J, MacLeod WB. First do no harm? Tort reform and birth outcomes. Q J Econ. 2008;123(2):795-830.</w:t>
      </w:r>
    </w:p>
    <w:p>
      <w:pPr>
        <w:spacing w:line="480" w:lineRule="auto" w:after="40"/>
      </w:pPr>
      <w:r>
        <w:rPr>
          <w:rFonts w:ascii="Times New Roman" w:hAnsi="Times New Roman"/>
          <w:sz w:val="20"/>
        </w:rPr>
        <w:t>25. Takei T. The ‘Chokubi’ phenomenon: young physicians’ exodus from state service to private medicine in Japan. QJM. 2024;117(12):843-5.</w:t>
      </w:r>
    </w:p>
    <w:p>
      <w:pPr>
        <w:spacing w:line="480" w:lineRule="auto" w:after="40"/>
      </w:pPr>
      <w:r>
        <w:rPr>
          <w:rFonts w:ascii="Times New Roman" w:hAnsi="Times New Roman"/>
          <w:sz w:val="20"/>
        </w:rPr>
        <w:t>26. Ministry of Health, Labour and Welfare. Survey of medical institutions 2023: aesthetic surgery clinics. Tokyo: MHLW; 2024. Japanese.</w:t>
      </w:r>
    </w:p>
    <w:p>
      <w:pPr>
        <w:spacing w:line="480" w:lineRule="auto" w:after="40"/>
      </w:pPr>
      <w:r>
        <w:rPr>
          <w:rFonts w:ascii="Times New Roman" w:hAnsi="Times New Roman"/>
          <w:sz w:val="20"/>
        </w:rPr>
        <w:t>27. Koike S, Isse T, Kawaguchi H, et al. Retention among full-time occupational physicians in Japan. Occup Med (Lond). 2019;69(2):139-42.</w:t>
      </w:r>
    </w:p>
    <w:p>
      <w:pPr>
        <w:spacing w:line="480" w:lineRule="auto" w:after="40"/>
      </w:pPr>
      <w:r>
        <w:rPr>
          <w:rFonts w:ascii="Times New Roman" w:hAnsi="Times New Roman"/>
          <w:sz w:val="20"/>
        </w:rPr>
        <w:t>28. Isse T, Nakamura H, Hachisuka K. Turnover of full-time occupational physicians in Japan in the period 2002–2008. Sangyo Eiseigaku Zasshi. 2012;54(5):174-83. Japanese.</w:t>
      </w:r>
    </w:p>
    <w:p>
      <w:r>
        <w:br w:type="page"/>
      </w:r>
    </w:p>
    <w:p>
      <w:pPr>
        <w:pStyle w:val="Heading1"/>
      </w:pPr>
      <w:r>
        <w:rPr>
          <w:rFonts w:ascii="Times New Roman" w:hAnsi="Times New Roman"/>
          <w:color w:val="000000"/>
        </w:rPr>
        <w:t>Figure Legends</w:t>
      </w:r>
    </w:p>
    <w:p>
      <w:pPr>
        <w:spacing w:line="480" w:lineRule="auto" w:after="240"/>
      </w:pPr>
      <w:r>
        <w:rPr>
          <w:rFonts w:ascii="Times New Roman" w:hAnsi="Times New Roman"/>
          <w:b/>
          <w:sz w:val="22"/>
        </w:rPr>
        <w:t xml:space="preserve">Figure 1. </w:t>
      </w:r>
      <w:r>
        <w:rPr>
          <w:rFonts w:ascii="Times New Roman" w:hAnsi="Times New Roman"/>
          <w:sz w:val="22"/>
        </w:rPr>
        <w:t>Trends in medical safety incident counts by specialty. Panel A: JMSR mandatory reports (2015–2025). Panel B: Medical malpractice litigation closed claims (2004–2023).</w:t>
      </w:r>
    </w:p>
    <w:p>
      <w:pPr>
        <w:spacing w:line="480" w:lineRule="auto" w:after="240"/>
      </w:pPr>
      <w:r>
        <w:rPr>
          <w:rFonts w:ascii="Times New Roman" w:hAnsi="Times New Roman"/>
          <w:b/>
          <w:sz w:val="22"/>
        </w:rPr>
        <w:t xml:space="preserve">Figure 2. </w:t>
      </w:r>
      <w:r>
        <w:rPr>
          <w:rFonts w:ascii="Times New Roman" w:hAnsi="Times New Roman"/>
          <w:sz w:val="22"/>
        </w:rPr>
        <w:t>Impulse response functions: response of physician counts to a one-unit shock in litigation cases for six specialties. Shaded areas represent approximate 95% confidence bands.</w:t>
      </w:r>
    </w:p>
    <w:p>
      <w:pPr>
        <w:spacing w:line="480" w:lineRule="auto" w:after="240"/>
      </w:pPr>
      <w:r>
        <w:rPr>
          <w:rFonts w:ascii="Times New Roman" w:hAnsi="Times New Roman"/>
          <w:b/>
          <w:sz w:val="22"/>
        </w:rPr>
        <w:t xml:space="preserve">Figure 3. </w:t>
      </w:r>
      <w:r>
        <w:rPr>
          <w:rFonts w:ascii="Times New Roman" w:hAnsi="Times New Roman"/>
          <w:sz w:val="22"/>
        </w:rPr>
        <w:t>Impulse response functions: response of facility counts to a one-unit shock in litigation cases for six specialties.</w:t>
      </w:r>
    </w:p>
    <w:p>
      <w:pPr>
        <w:spacing w:line="480" w:lineRule="auto" w:after="240"/>
      </w:pPr>
      <w:r>
        <w:rPr>
          <w:rFonts w:ascii="Times New Roman" w:hAnsi="Times New Roman"/>
          <w:b/>
          <w:sz w:val="22"/>
        </w:rPr>
        <w:t xml:space="preserve">Figure 4. </w:t>
      </w:r>
      <w:r>
        <w:rPr>
          <w:rFonts w:ascii="Times New Roman" w:hAnsi="Times New Roman"/>
          <w:sz w:val="22"/>
        </w:rPr>
        <w:t>VAR-based forecasts of physician and facility counts for general surgery, obstetrics and gynaecology, and internal medicine (2024–2033). Circles: observed data; dashed line: forecast; shaded area: 95% forecast interval.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