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four key ways: (1) we jointly analyze both Neanderthal and Denisovan introgression, exploiting their complementary geographic signatures; (2) we operate at the level of segment sharing rather than aggregate proportions, capturing population-specific introgression patterns; (3) we explicitly model confounding factors (recent admixture and continental grouping) to isolate residual sharing signals indicative of unexpected historical connections; and (4) we adopt a hypothesis-generating rather than hypothesis-testing framework, deriving testable predictions from locus-specific ABO observations that motivate genome-wide analysis.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Introgression sharing as a pairwise metric</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1"/>
      </w:pPr>
      <w:r>
        <w:rPr>
          <w:color w:val="000000"/>
        </w:rPr>
        <w:t>Sharing decays with distance, but outliers persist</w:t>
      </w:r>
    </w:p>
    <w:p>
      <w:pPr/>
      <w:r>
        <w:rPr>
          <w:rFonts w:ascii="Times New Roman" w:hAnsi="Times New Roman"/>
          <w:sz w:val="24"/>
        </w:rPr>
        <w:t>Across 2,145 population pairs, Neanderthal segment sharing correlated negatively with geographic distance (r = −0.49, p &lt; 10⁻¹²⁷; Figure 1A). Excluding the five admixed populations (CLM, PUR, MXL, PEL, GIH) strengthened the correlation to r = −0.62 (p &lt; 10⁻¹⁹¹; Figure 4), confirming that recent admixture inflates between-continent sharing and must be controlled for. The bootstrap 95% CI for the regression slope was [−2.74 × 10⁻⁵, −2.33 × 10⁻⁵] per km (10,000 resamples), indicating a robust linear decline.</w:t>
      </w:r>
    </w:p>
    <w:p>
      <w:pPr/>
      <w:r>
        <w:rPr>
          <w:rFonts w:ascii="Times New Roman" w:hAnsi="Times New Roman"/>
          <w:sz w:val="24"/>
        </w:rPr>
        <w:t>After incorporating admixture and continental grouping as covariates, the corrected model explained 51.0% (Neanderthal, 95% CI: 48.3–53.8%) and 49.5% (Denisovan, 95% CI: 46.9–52.2%) of the variance. The partial correlation between Neanderthal sharing and distance, after controlling for shared continental ancestry, remained significant (r = −0.19, p &lt; 10⁻¹⁸). The attenuation from r = −0.62 to r = −0.19 indicates that a substantial portion of the raw correlation reflects population structure, but the residual signal persists after this is removed. This residual is the target of our hypothesis: it represents distance-independent sharing attributable to migration.</w:t>
      </w:r>
    </w:p>
    <w:p>
      <w:pPr/>
      <w:r>
        <w:rPr>
          <w:rFonts w:ascii="Times New Roman" w:hAnsi="Times New Roman"/>
          <w:sz w:val="24"/>
        </w:rPr>
        <w:t>Four pairwise outliers exceeded the z &gt; 2.0 threshold (Table 1). Three involved East Asian populations paired with PEL (Peru): KHV–PEL (z = 2.14, permutation p = 0.002), CHS–PEL (z = 2.06, p = 0.004), and CDX–PEL (z = 2.01, p = 0.011). These pairs are separated by 18,000–19,500 km yet share Neanderthal introgression profiles at levels expected for populations only ~5,000 km apart. The fourth outlier, CLM–Pathan (z = 2.01, p = 0.009), connects Colombia with Pakistan, consistent with the known South Asian genetic component in Colombian mestizos. The East Asia–Peru outliers are explicable only by shared ancestry via the Beringian migration corridor, demonstrating that the framework recovers genuine migration signals.</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 non-admixed pairs, red triangles = pairs involving recently admixed populations (CLM, PUR, MXL, PEL, GIH). Dashed line: regression excluding admixed (r = −0.62). Grey band: ±2 SD prediction interval. Labelled points are pairwise outliers (z &gt; 2.0). (B) Denisovan introgression-profile correlation, illustrating the Wallace Line discontinuity: Oceanian populations (purple diamonds) cluster separately with high intra-group sharing but near-zero sharing with non-Oceanian populations. Data: hmmix introgression segments (Zenodo:14136628), 66 populations, 3,134 individuals, 500 kb bins.</w:t>
      </w:r>
    </w:p>
    <w:p>
      <w:r>
        <w:rPr>
          <w:b/>
          <w:sz w:val="20"/>
        </w:rPr>
        <w:t xml:space="preserve">Table 1. </w:t>
      </w:r>
      <w:r>
        <w:rPr>
          <w:sz w:val="20"/>
        </w:rPr>
        <w:t>Neanderthal introgression-profile outliers (z &gt; 2.0). Pairs whose sharing exceeds the distance-based prediction by &gt;2 SD. Permutation p-values from 5,000 iterations.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Population 1</w:t>
            </w:r>
          </w:p>
        </w:tc>
        <w:tc>
          <w:tcPr>
            <w:tcW w:type="dxa" w:w="1337"/>
          </w:tcPr>
          <w:p>
            <w:r>
              <w:rPr>
                <w:b/>
                <w:sz w:val="18"/>
              </w:rPr>
              <w:t>Population 2</w:t>
            </w:r>
          </w:p>
        </w:tc>
        <w:tc>
          <w:tcPr>
            <w:tcW w:type="dxa" w:w="1337"/>
          </w:tcPr>
          <w:p>
            <w:r>
              <w:rPr>
                <w:b/>
                <w:sz w:val="18"/>
              </w:rPr>
              <w:t>Region 1</w:t>
            </w:r>
          </w:p>
        </w:tc>
        <w:tc>
          <w:tcPr>
            <w:tcW w:type="dxa" w:w="1337"/>
          </w:tcPr>
          <w:p>
            <w:r>
              <w:rPr>
                <w:b/>
                <w:sz w:val="18"/>
              </w:rPr>
              <w:t>Region 2</w:t>
            </w:r>
          </w:p>
        </w:tc>
        <w:tc>
          <w:tcPr>
            <w:tcW w:type="dxa" w:w="1337"/>
          </w:tcPr>
          <w:p>
            <w:r>
              <w:rPr>
                <w:b/>
                <w:sz w:val="18"/>
              </w:rPr>
              <w:t>Distance (km)</w:t>
            </w:r>
          </w:p>
        </w:tc>
        <w:tc>
          <w:tcPr>
            <w:tcW w:type="dxa" w:w="1337"/>
          </w:tcPr>
          <w:p>
            <w:r>
              <w:rPr>
                <w:b/>
                <w:sz w:val="18"/>
              </w:rPr>
              <w:t>Sharing (r)</w:t>
            </w:r>
          </w:p>
        </w:tc>
        <w:tc>
          <w:tcPr>
            <w:tcW w:type="dxa" w:w="1337"/>
          </w:tcPr>
          <w:p>
            <w:r>
              <w:rPr>
                <w:b/>
                <w:sz w:val="18"/>
              </w:rPr>
              <w:t>z-score</w:t>
            </w:r>
          </w:p>
        </w:tc>
      </w:tr>
      <w:tr>
        <w:tc>
          <w:tcPr>
            <w:tcW w:type="dxa" w:w="1337"/>
          </w:tcPr>
          <w:p>
            <w:r>
              <w:rPr>
                <w:sz w:val="18"/>
              </w:rPr>
              <w:t>KHV</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Americas</w:t>
            </w:r>
          </w:p>
        </w:tc>
        <w:tc>
          <w:tcPr>
            <w:tcW w:type="dxa" w:w="1337"/>
          </w:tcPr>
          <w:p>
            <w:r>
              <w:rPr>
                <w:sz w:val="18"/>
              </w:rPr>
              <w:t>C/S Asia</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1"/>
      </w:pPr>
      <w:r>
        <w:rPr>
          <w:color w:val="000000"/>
        </w:rPr>
        <w:t>The Wallace Line as a Denisovan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separating the Sunda Shelf from Wallacea (Figure 2). West of the line, Denisovan ancestry is uniformly low (≤0.1%); east of it, ancestry increases sharply, reaching 3–3.5% in Papuans. The Lydekker Line, the eastern biogeographic boundary marking the edge of the Sahul Shelf, further delineates the zone of maximum Denisovan introgression.</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diagram of human migration and archaic introgression. Band width represents relative effective population size (schematic). Star markers indicate admixture events with Neanderthals (~47 kya) and Denisovans (three events). ABO sub-lineage compositions are annotated at key branch points. The Wallace Line (red dashed) marks the Denisovan sharing discontinuity. Time axis at bottom. The sub-lineage paradox is highlighted: East Asian populations carry 100% Chagyrskaya-type Neanderthal ABO segments, whereas Americas populations show a mixed composition (Chag 52% / Alt 24% / Vin 24%), explained by ANE admixture at Beringia. Data: hmmix (Zenodo:14136628), 1000 Genomes, HGDP.</w:t>
      </w:r>
    </w:p>
    <w:p>
      <w:pPr>
        <w:pStyle w:val="Heading1"/>
      </w:pPr>
      <w:r>
        <w:rPr>
          <w:color w:val="000000"/>
        </w:rPr>
        <w:t>Trans-Pacific connections through Neanderthal sharing</w:t>
      </w:r>
    </w:p>
    <w:p>
      <w:pPr/>
      <w:r>
        <w:rPr>
          <w:rFonts w:ascii="Times New Roman" w:hAnsi="Times New Roman"/>
          <w:sz w:val="24"/>
        </w:rPr>
        <w:t>The four pairwise outliers (Table 1) present a coherent geographic picture. The three East Asia–Peru pairs (KHV–PEL z = 2.14, CHS–PEL z = 2.06, CDX–PEL z = 2.01; all permutation p &lt; 0.02) are separated by 18,000–19,500 km yet share Neanderthal introgression profiles at levels expected for populations only ~5,000 km apart. This signal is explicable only by shared ancestry via the Beringian migration corridor and demonstrates that the framework recovers genuine migration signals.</w:t>
      </w:r>
    </w:p>
    <w:p>
      <w:pPr/>
      <w:r>
        <w:rPr>
          <w:rFonts w:ascii="Times New Roman" w:hAnsi="Times New Roman"/>
          <w:sz w:val="24"/>
        </w:rPr>
        <w:t>The fourth outlier, CLM–Pathan (z = 2.01, p = 0.009), connects Colombia with Pakistan, consistent with the known South Asian genetic component in Colombian mestizos. The consistent directionality of the top residuals — preferentially connecting East Asian and American populations rather than, for example, European and Oceanian populations — supports the hypothesis that Neanderthal segment sharing retains a genuine Beringian crossing signal. Larger sample sizes (&gt;100 individuals per population) would provide additional statistical power for detecting subtler migration corridors.</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Figure 4. </w:t>
      </w:r>
      <w:r>
        <w:rPr>
          <w:sz w:val="22"/>
        </w:rPr>
        <w:t>Sensitivity analysis: effect of excluding recently admixed populations. Grey dots: all 2,145 population pairs. Blue solid line: regression for all pairs (r = −0.49). Red dashed line: regression excluding admixed pairs (r = −0.62). The strengthening of the correlation after removing admixed populations (CLM, PUR, MXL, PEL, GIH) confirms that recent post-Columbian admixture inflates cross-continental sharing and must be controlled for.</w:t>
      </w:r>
    </w:p>
    <w:p>
      <w:pPr>
        <w:pStyle w:val="Heading1"/>
      </w:pPr>
      <w:r>
        <w:rPr>
          <w:color w:val="000000"/>
        </w:rPr>
        <w:t>From ABO to genome-wide: the locus that started it all</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Table 2).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r>
        <w:rPr>
          <w:b/>
          <w:sz w:val="20"/>
        </w:rPr>
        <w:t xml:space="preserve">Table 2. </w:t>
      </w:r>
      <w:r>
        <w:rPr>
          <w:sz w:val="20"/>
        </w:rPr>
        <w:t>Neanderthal sub-lineage composition at the ABO locus by geographic region. The percentage of introgression segments closest to each Neanderthal reference genome (Altai, Vindija, Chagyrskaya) is shown. n = number of Neanderthal segments overlapping the ABO region (chr9:133.0–133.5 Mb).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Region</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East Asia</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Europe</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Americas</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South Asia</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Middle East</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Oceania</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Our approach differs in four structural ways: (1) bivariate — we jointly analyze Neanderthal and Denisovan introgression, enabling the detection of the Wallace Line contrast that is invisible to Neanderthal-only analyses; (2) pairwise — we compare full introgression frequency profiles (~6,000 genomic bins) between population pairs, enabling the detection of specific migration corridors (Table 1); (3) locus-specific — we complement genome-wide analysis with focal investigation at ABO, where sub-lineage composition encodes migration history at higher resolution; and (4) hypothesis-generating — rather than fitting a model to recover known migrations, we derive six testable predictions from observed anomalies.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six specific, falsifiable predictions:</w:t>
      </w:r>
    </w:p>
    <w:p>
      <w:pPr/>
      <w:r>
        <w:rPr>
          <w:rFonts w:ascii="Times New Roman" w:hAnsi="Times New Roman"/>
          <w:sz w:val="24"/>
        </w:rPr>
        <w:t>Prediction 1: Ancient Beringian genomes will share introgression fingerprints with both East Asian and Native American populations. The East Asia–Peru outliers (Table 1) imply that the Beringian crossing preserved a shared introgression profile. Ancient genomes from Northeast Siberia (e.g., Yana RHS, Upward Sun River) should exhibit high introgression-profile correlation with both modern East Asian and South American populations (predicted r &gt; 0.6 with both groups, vs. r ~ 0.3–0.4 currently observed). If they do not, the outlier is more parsimoniously explained by convergent selection on introgressed loci.</w:t>
      </w:r>
    </w:p>
    <w:p>
      <w:pPr/>
      <w:r>
        <w:rPr>
          <w:rFonts w:ascii="Times New Roman" w:hAnsi="Times New Roman"/>
          <w:sz w:val="24"/>
        </w:rPr>
        <w:t>Prediction 2: ABO sub-lineage typing of ancient Beringian genomes will reveal the ANE mixing event. If the sub-lineage paradox is correctly attributed to ANE ancestry, then ancient genomes from Beringia or northeastern Siberia should carry a mixed ABO sub-lineage profile intermediate between the pure-Chagyrskaya East Asian pattern and the three-way American pattern. Specifically, the proportion of Altai/Vindija-type segments should increase moving westward from East Asia toward the ANE homeland.</w:t>
      </w:r>
      <w:r>
        <w:rPr>
          <w:sz w:val="20"/>
          <w:vertAlign w:val="superscript"/>
        </w:rPr>
        <w:t>14</w:t>
      </w:r>
      <w:r>
        <w:rPr>
          <w:rFonts w:ascii="Times New Roman" w:hAnsi="Times New Roman"/>
          <w:sz w:val="24"/>
        </w:rPr>
        <w:t xml:space="preserve"> The prediction fails if Beringian genomes show the pure-Chagyrskaya pattern of modern East Asians.</w:t>
      </w:r>
    </w:p>
    <w:p>
      <w:pPr/>
      <w:r>
        <w:rPr>
          <w:rFonts w:ascii="Times New Roman" w:hAnsi="Times New Roman"/>
          <w:sz w:val="24"/>
        </w:rPr>
        <w:t>Prediction 3: Denisovan segment sharing will identify the Austronesian expansion route. Austronesian-speaking populations from Taiwan through Island Southeast Asia to Polynesia are expected to show a gradient of Denisovan sharing that recapitulates their expansion trajectory. Specifically, Polynesian populations should share more Denisovan introgression-profile similarity with Moluccans and Nusa Tenggara populations than with mainland Southeast Asians, reflecting post-Wallace-Line admixture during the Austronesian expansion.</w:t>
      </w:r>
    </w:p>
    <w:p>
      <w:pPr/>
      <w:r>
        <w:rPr>
          <w:rFonts w:ascii="Times New Roman" w:hAnsi="Times New Roman"/>
          <w:sz w:val="24"/>
        </w:rPr>
        <w:t>Prediction 4: The O2 paradox will be resolved by density-dependent selection. The absence of the Neanderthal-derived O2 allele in East Asia despite high overall Neanderthal ancestry suggests purifying selection against O2 that is stronger in large, dense populations than in small island populations.</w:t>
      </w:r>
      <w:r>
        <w:rPr>
          <w:sz w:val="20"/>
          <w:vertAlign w:val="superscript"/>
        </w:rPr>
        <w:t>13</w:t>
      </w:r>
      <w:r>
        <w:rPr>
          <w:rFonts w:ascii="Times New Roman" w:hAnsi="Times New Roman"/>
          <w:sz w:val="24"/>
        </w:rPr>
        <w:t xml:space="preserve"> If correct, the O2 allele should be (i) present in ancient East Asian genomes from periods before population expansion (pre-Neolithic), and (ii) absent or declining in post-Neolithic samples as population size increased. Ancient DNA from early Jomon or pre-Neolithic Southeast Asian contexts could test this directly.</w:t>
      </w:r>
    </w:p>
    <w:p>
      <w:pPr/>
      <w:r>
        <w:rPr>
          <w:rFonts w:ascii="Times New Roman" w:hAnsi="Times New Roman"/>
          <w:sz w:val="24"/>
        </w:rPr>
        <w:t>Prediction 5: Population Y ancestry in Amazonian groups will be detectable via Denisovan segment subtype analysis. Skoglund et al. identified ~2% Australasian ancestry (‘Population Y’) in Amazonian groups (Suruí, Karitiana).</w:t>
      </w:r>
      <w:r>
        <w:rPr>
          <w:sz w:val="20"/>
          <w:vertAlign w:val="superscript"/>
        </w:rPr>
        <w:t>21</w:t>
      </w:r>
      <w:r>
        <w:rPr>
          <w:rFonts w:ascii="Times New Roman" w:hAnsi="Times New Roman"/>
          <w:sz w:val="24"/>
        </w:rPr>
        <w:t xml:space="preserve"> If this ancestry traversed Oceania, it should carry Oceanian-type Denisovan segments. A comparison of Denisovan haplotype subtypes</w:t>
      </w:r>
      <w:r>
        <w:rPr>
          <w:sz w:val="20"/>
          <w:vertAlign w:val="superscript"/>
        </w:rPr>
        <w:t>5</w:t>
      </w:r>
      <w:r>
        <w:rPr>
          <w:rFonts w:ascii="Times New Roman" w:hAnsi="Times New Roman"/>
          <w:sz w:val="24"/>
        </w:rPr>
        <w:t xml:space="preserve"> in Amazonian versus Oceanian populations could distinguish an Oceanian from a continental Southeast Asian route. Targeted haplotype analysis of known Denisovan-introgressed loci (e.g., EPAS1, TBX15) may provide sufficient power despite the expected low signal (~2% × 3% = 0.06%).</w:t>
      </w:r>
    </w:p>
    <w:p>
      <w:pPr/>
      <w:r>
        <w:rPr>
          <w:rFonts w:ascii="Times New Roman" w:hAnsi="Times New Roman"/>
          <w:sz w:val="24"/>
        </w:rPr>
        <w:t>Prediction 6: Denisovan ABO segments in South Asia derive from a distinct admixture event. The exclusive presence of Denisovan introgression at ABO in South Asian populations predicts that these segments derive from a Denisovan source lineage distinct from both the Oceanian-type and East Asian-type sources.</w:t>
      </w:r>
      <w:r>
        <w:rPr>
          <w:sz w:val="20"/>
          <w:vertAlign w:val="superscript"/>
        </w:rPr>
        <w:t>5</w:t>
      </w:r>
      <w:r>
        <w:rPr>
          <w:rFonts w:ascii="Times New Roman" w:hAnsi="Times New Roman"/>
          <w:sz w:val="24"/>
        </w:rPr>
        <w:t xml:space="preserve"> If genome-wide Denisovan ancestry in South Asians is further dissected using improved reference panels, the ABO-associated segments should cluster with a third Denisovan lineage not found in Oceanian or East Asian populations. This can be tested by phylogenetic analysis of the introgressed haplotypes.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9.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Figure 9.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The Wallace Line (red dashed) and Lydekker Line (green dotted) are shown.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