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 Linear Non-Gaussian Acyclic Model (DirectLiNGAM; Shimizu et al., 2011) 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Ensemble Causal Direction (ECD): LiNGAMの局所的識別可能性とスペクトル因果性の大域的構造解析を統合するパイプライン（第9節）。</w:t>
        <w:br/>
        <w:t>(5) DPIの部分的識別可能性: ANM下でDPIのANM成分が n→∞ で因果方向を整合的に識別することを証明（第10節）。</w:t>
      </w:r>
    </w:p>
    <w:p>
      <w:pPr/>
      <w:r>
        <w:rPr>
          <w:b w:val="0"/>
          <w:i w:val="0"/>
        </w:rPr>
        <w:t>図1に本研究で統合する3つの相補的アプローチの概念概要を示す。</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図1: 因果推論への3つの相補的アプローチ: (1) 構造方程式モデルとDAGベース手法 (例: LiNGAM)、(2) 磁気ラプラシアンによるスペクトルグラフ手法、(3) Hodge理論的フロー分解。スペクトル因果性は(2) と(3) を統合する。</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 有向辺 i→j での位相蓄積が鍵となる。q=0.25 では H^(q)_{ij} = i·w_{ij}, H^(q)_{ji} = -i·w_{ij} であり、固有方程式の非対称位相因子が各有向辺に沿って厳密に正の位相増分 Δθ &gt; 0 を強制する。第1段階 (補題A.1): パスグラフ v_1→...→v_n では、正規化磁気ラプラシアンの固有方程式が再帰式 (1-λ)u(v_k) = (-iw/d_{v_k})u(v_{k-1}) + (iw/d_{v_k})u(v_{k+1}) を与える。u(v_k) = r_k exp(iθ_k) と極座標表示し実部を取ると、1-λ_2 &gt; 0 かつ r_k &gt; 0 から θ_{k+1}-θ_k &gt; 0 が要求される。第2段階 (定理A.1): tree DAGに対し木の深さに関する構造的帰納法を用いる。基底（星グラフ）で θ_2(c_j) = θ_2(r) + π/2。帰納段階では部分木仮説と推移律を組み合わせる。非一様重みへの摂動論法で結果を拡張。完全な証明は付録Aに記載。□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はドメイン知識の混合比率、C_domain(i,j) ∈ [0,1] はドメイン知識行列であり、変数 X_i が X_j に因果的影響を及ぼすと信じられる度合いを符号化する。情報源としては専門家評価、文献ベースの評定、または構造化オントロジーが利用可能である。二値隣接行列と異なり C_domain は段階的信頼度を許容し、非対称性 C_domain(i,j) ≠ C_domain(j,i) が方向的事前知識を符号化する。</w:t>
      </w:r>
    </w:p>
    <w:p>
      <w:pPr>
        <w:jc w:val="center"/>
      </w:pPr>
      <w:r>
        <w:drawing>
          <wp:inline xmlns:a="http://schemas.openxmlformats.org/drawingml/2006/main" xmlns:pic="http://schemas.openxmlformats.org/drawingml/2006/picture">
            <wp:extent cx="5029200" cy="2951004"/>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951004"/>
                    </a:xfrm>
                    <a:prstGeom prst="rect"/>
                  </pic:spPr>
                </pic:pic>
              </a:graphicData>
            </a:graphic>
          </wp:inline>
        </w:drawing>
      </w:r>
    </w:p>
    <w:p>
      <w:pPr>
        <w:spacing w:before="120" w:after="240"/>
        <w:jc w:val="center"/>
      </w:pPr>
      <w:r>
        <w:rPr>
          <w:i/>
          <w:sz w:val="18"/>
        </w:rPr>
        <w:t>図2: Directional Predictability Index (DPI) のアーキテクチャ。3つの独立な非対称統計量（回帰係数非対称性 Â_reg、ANM残差独立性 Â_ANM、条件付きエントロピー削減 Â_ent）を正規化・平均し、対称相関 |ρ_{ij}| を非対称DPIスコアに変換する。モジュラー設計により各成分を独立に拡張可能。</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jc w:val="center"/>
      </w:pPr>
      <w:r>
        <w:drawing>
          <wp:inline xmlns:a="http://schemas.openxmlformats.org/drawingml/2006/main" xmlns:pic="http://schemas.openxmlformats.org/drawingml/2006/picture">
            <wp:extent cx="5029200" cy="4505166"/>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5029200" cy="4505166"/>
                    </a:xfrm>
                    <a:prstGeom prst="rect"/>
                  </pic:spPr>
                </pic:pic>
              </a:graphicData>
            </a:graphic>
          </wp:inline>
        </w:drawing>
      </w:r>
    </w:p>
    <w:p>
      <w:pPr>
        <w:spacing w:before="120" w:after="240"/>
        <w:jc w:val="center"/>
      </w:pPr>
      <w:r>
        <w:rPr>
          <w:i/>
          <w:sz w:val="18"/>
        </w:rPr>
        <w:t>図3: 複素因果指標 CCI(i,j) の複素平面プロット。実軸 (SCC) は結合強度、虚軸 (SCD) は因果方向を表す。赤点は順方向 (i→j)、青点は逆方向を示す。大多数のペアが下半平面に集中し、Ageの上流ルートノードとしての優位性を反映。</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r>
        <w:rPr>
          <w:b/>
          <w:i w:val="0"/>
        </w:rPr>
        <w:t>ドメイン知識行列</w:t>
      </w:r>
    </w:p>
    <w:p>
      <w:pPr/>
      <w:r>
        <w:rPr>
          <w:b w:val="0"/>
          <w:i w:val="0"/>
        </w:rPr>
        <w:t>確立された心血管生理学に基づき C_domain を構築する (表7.0)。各要素 C_domain(i,j) ∈ [0,1] は変数 X_i が X_j に及ぼすと信じられる因果影響の強度を表し、医学文献 (Detrano et al., 1989) から導出した。例えば C_domain(年齢, 安静時血圧) = 0.6 は加齢に伴う動脈硬化と安静時血圧上昇の確立された効果を反映する。</w:t>
      </w:r>
    </w:p>
    <w:p>
      <w:pPr>
        <w:spacing w:before="240"/>
      </w:pPr>
      <w:r>
        <w:rPr>
          <w:b/>
          <w:sz w:val="18"/>
        </w:rPr>
        <w:t>表 7.0: UCI心疾患変数のドメイン知識行列 C_domain。要素 (i,j) は変数 i の変数 j への因果影響の強度を表す。非対称性 C(i,j) ≠ C(j,i) が方向的事前知識を符号化する。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C(i,j)</w:t>
            </w:r>
          </w:p>
        </w:tc>
        <w:tc>
          <w:tcPr>
            <w:tcW w:type="dxa" w:w="1440"/>
          </w:tcPr>
          <w:p>
            <w:r>
              <w:rPr>
                <w:b/>
                <w:sz w:val="18"/>
              </w:rPr>
              <w:t>年齢</w:t>
            </w:r>
          </w:p>
        </w:tc>
        <w:tc>
          <w:tcPr>
            <w:tcW w:type="dxa" w:w="1440"/>
          </w:tcPr>
          <w:p>
            <w:r>
              <w:rPr>
                <w:b/>
                <w:sz w:val="18"/>
              </w:rPr>
              <w:t>安静時BP</w:t>
            </w:r>
          </w:p>
        </w:tc>
        <w:tc>
          <w:tcPr>
            <w:tcW w:type="dxa" w:w="1440"/>
          </w:tcPr>
          <w:p>
            <w:r>
              <w:rPr>
                <w:b/>
                <w:sz w:val="18"/>
              </w:rPr>
              <w:t>コレステロール</w:t>
            </w:r>
          </w:p>
        </w:tc>
        <w:tc>
          <w:tcPr>
            <w:tcW w:type="dxa" w:w="1440"/>
          </w:tcPr>
          <w:p>
            <w:r>
              <w:rPr>
                <w:b/>
                <w:sz w:val="18"/>
              </w:rPr>
              <w:t>最大HR</w:t>
            </w:r>
          </w:p>
        </w:tc>
        <w:tc>
          <w:tcPr>
            <w:tcW w:type="dxa" w:w="1440"/>
          </w:tcPr>
          <w:p>
            <w:r>
              <w:rPr>
                <w:b/>
                <w:sz w:val="18"/>
              </w:rPr>
              <w:t>ST低下</w:t>
            </w:r>
          </w:p>
        </w:tc>
      </w:tr>
      <w:tr>
        <w:tc>
          <w:tcPr>
            <w:tcW w:type="dxa" w:w="1440"/>
          </w:tcPr>
          <w:p>
            <w:r>
              <w:rPr>
                <w:sz w:val="18"/>
              </w:rPr>
              <w:t>年齢</w:t>
            </w:r>
          </w:p>
        </w:tc>
        <w:tc>
          <w:tcPr>
            <w:tcW w:type="dxa" w:w="1440"/>
          </w:tcPr>
          <w:p>
            <w:r>
              <w:rPr>
                <w:sz w:val="18"/>
              </w:rPr>
              <w:t>---</w:t>
            </w:r>
          </w:p>
        </w:tc>
        <w:tc>
          <w:tcPr>
            <w:tcW w:type="dxa" w:w="1440"/>
          </w:tcPr>
          <w:p>
            <w:r>
              <w:rPr>
                <w:sz w:val="18"/>
              </w:rPr>
              <w:t>0.6</w:t>
            </w:r>
          </w:p>
        </w:tc>
        <w:tc>
          <w:tcPr>
            <w:tcW w:type="dxa" w:w="1440"/>
          </w:tcPr>
          <w:p>
            <w:r>
              <w:rPr>
                <w:sz w:val="18"/>
              </w:rPr>
              <w:t>0.4</w:t>
            </w:r>
          </w:p>
        </w:tc>
        <w:tc>
          <w:tcPr>
            <w:tcW w:type="dxa" w:w="1440"/>
          </w:tcPr>
          <w:p>
            <w:r>
              <w:rPr>
                <w:sz w:val="18"/>
              </w:rPr>
              <w:t>0.5</w:t>
            </w:r>
          </w:p>
        </w:tc>
        <w:tc>
          <w:tcPr>
            <w:tcW w:type="dxa" w:w="1440"/>
          </w:tcPr>
          <w:p>
            <w:r>
              <w:rPr>
                <w:sz w:val="18"/>
              </w:rPr>
              <w:t>0.3</w:t>
            </w:r>
          </w:p>
        </w:tc>
      </w:tr>
      <w:tr>
        <w:tc>
          <w:tcPr>
            <w:tcW w:type="dxa" w:w="1440"/>
          </w:tcPr>
          <w:p>
            <w:r>
              <w:rPr>
                <w:sz w:val="18"/>
              </w:rPr>
              <w:t>安静時BP</w:t>
            </w:r>
          </w:p>
        </w:tc>
        <w:tc>
          <w:tcPr>
            <w:tcW w:type="dxa" w:w="1440"/>
          </w:tcPr>
          <w:p>
            <w:r>
              <w:rPr>
                <w:sz w:val="18"/>
              </w:rPr>
              <w:t>0.1</w:t>
            </w:r>
          </w:p>
        </w:tc>
        <w:tc>
          <w:tcPr>
            <w:tcW w:type="dxa" w:w="1440"/>
          </w:tcPr>
          <w:p>
            <w:r>
              <w:rPr>
                <w:sz w:val="18"/>
              </w:rPr>
              <w:t>---</w:t>
            </w:r>
          </w:p>
        </w:tc>
        <w:tc>
          <w:tcPr>
            <w:tcW w:type="dxa" w:w="1440"/>
          </w:tcPr>
          <w:p>
            <w:r>
              <w:rPr>
                <w:sz w:val="18"/>
              </w:rPr>
              <w:t>0.2</w:t>
            </w:r>
          </w:p>
        </w:tc>
        <w:tc>
          <w:tcPr>
            <w:tcW w:type="dxa" w:w="1440"/>
          </w:tcPr>
          <w:p>
            <w:r>
              <w:rPr>
                <w:sz w:val="18"/>
              </w:rPr>
              <w:t>0.3</w:t>
            </w:r>
          </w:p>
        </w:tc>
        <w:tc>
          <w:tcPr>
            <w:tcW w:type="dxa" w:w="1440"/>
          </w:tcPr>
          <w:p>
            <w:r>
              <w:rPr>
                <w:sz w:val="18"/>
              </w:rPr>
              <w:t>0.4</w:t>
            </w:r>
          </w:p>
        </w:tc>
      </w:tr>
      <w:tr>
        <w:tc>
          <w:tcPr>
            <w:tcW w:type="dxa" w:w="1440"/>
          </w:tcPr>
          <w:p>
            <w:r>
              <w:rPr>
                <w:sz w:val="18"/>
              </w:rPr>
              <w:t>コレステロール</w:t>
            </w:r>
          </w:p>
        </w:tc>
        <w:tc>
          <w:tcPr>
            <w:tcW w:type="dxa" w:w="1440"/>
          </w:tcPr>
          <w:p>
            <w:r>
              <w:rPr>
                <w:sz w:val="18"/>
              </w:rPr>
              <w:t>0.1</w:t>
            </w:r>
          </w:p>
        </w:tc>
        <w:tc>
          <w:tcPr>
            <w:tcW w:type="dxa" w:w="1440"/>
          </w:tcPr>
          <w:p>
            <w:r>
              <w:rPr>
                <w:sz w:val="18"/>
              </w:rPr>
              <w:t>0.3</w:t>
            </w:r>
          </w:p>
        </w:tc>
        <w:tc>
          <w:tcPr>
            <w:tcW w:type="dxa" w:w="1440"/>
          </w:tcPr>
          <w:p>
            <w:r>
              <w:rPr>
                <w:sz w:val="18"/>
              </w:rPr>
              <w:t>---</w:t>
            </w:r>
          </w:p>
        </w:tc>
        <w:tc>
          <w:tcPr>
            <w:tcW w:type="dxa" w:w="1440"/>
          </w:tcPr>
          <w:p>
            <w:r>
              <w:rPr>
                <w:sz w:val="18"/>
              </w:rPr>
              <w:t>0.1</w:t>
            </w:r>
          </w:p>
        </w:tc>
        <w:tc>
          <w:tcPr>
            <w:tcW w:type="dxa" w:w="1440"/>
          </w:tcPr>
          <w:p>
            <w:r>
              <w:rPr>
                <w:sz w:val="18"/>
              </w:rPr>
              <w:t>0.3</w:t>
            </w:r>
          </w:p>
        </w:tc>
      </w:tr>
      <w:tr>
        <w:tc>
          <w:tcPr>
            <w:tcW w:type="dxa" w:w="1440"/>
          </w:tcPr>
          <w:p>
            <w:r>
              <w:rPr>
                <w:sz w:val="18"/>
              </w:rPr>
              <w:t>最大HR</w:t>
            </w:r>
          </w:p>
        </w:tc>
        <w:tc>
          <w:tcPr>
            <w:tcW w:type="dxa" w:w="1440"/>
          </w:tcPr>
          <w:p>
            <w:r>
              <w:rPr>
                <w:sz w:val="18"/>
              </w:rPr>
              <w:t>0.1</w:t>
            </w:r>
          </w:p>
        </w:tc>
        <w:tc>
          <w:tcPr>
            <w:tcW w:type="dxa" w:w="1440"/>
          </w:tcPr>
          <w:p>
            <w:r>
              <w:rPr>
                <w:sz w:val="18"/>
              </w:rPr>
              <w:t>0.2</w:t>
            </w:r>
          </w:p>
        </w:tc>
        <w:tc>
          <w:tcPr>
            <w:tcW w:type="dxa" w:w="1440"/>
          </w:tcPr>
          <w:p>
            <w:r>
              <w:rPr>
                <w:sz w:val="18"/>
              </w:rPr>
              <w:t>0.1</w:t>
            </w:r>
          </w:p>
        </w:tc>
        <w:tc>
          <w:tcPr>
            <w:tcW w:type="dxa" w:w="1440"/>
          </w:tcPr>
          <w:p>
            <w:r>
              <w:rPr>
                <w:sz w:val="18"/>
              </w:rPr>
              <w:t>---</w:t>
            </w:r>
          </w:p>
        </w:tc>
        <w:tc>
          <w:tcPr>
            <w:tcW w:type="dxa" w:w="1440"/>
          </w:tcPr>
          <w:p>
            <w:r>
              <w:rPr>
                <w:sz w:val="18"/>
              </w:rPr>
              <w:t>0.5</w:t>
            </w:r>
          </w:p>
        </w:tc>
      </w:tr>
      <w:tr>
        <w:tc>
          <w:tcPr>
            <w:tcW w:type="dxa" w:w="1440"/>
          </w:tcPr>
          <w:p>
            <w:r>
              <w:rPr>
                <w:sz w:val="18"/>
              </w:rPr>
              <w:t>ST低下</w:t>
            </w:r>
          </w:p>
        </w:tc>
        <w:tc>
          <w:tcPr>
            <w:tcW w:type="dxa" w:w="1440"/>
          </w:tcPr>
          <w:p>
            <w:r>
              <w:rPr>
                <w:sz w:val="18"/>
              </w:rPr>
              <w:t>0.0</w:t>
            </w:r>
          </w:p>
        </w:tc>
        <w:tc>
          <w:tcPr>
            <w:tcW w:type="dxa" w:w="1440"/>
          </w:tcPr>
          <w:p>
            <w:r>
              <w:rPr>
                <w:sz w:val="18"/>
              </w:rPr>
              <w:t>0.1</w:t>
            </w:r>
          </w:p>
        </w:tc>
        <w:tc>
          <w:tcPr>
            <w:tcW w:type="dxa" w:w="1440"/>
          </w:tcPr>
          <w:p>
            <w:r>
              <w:rPr>
                <w:sz w:val="18"/>
              </w:rPr>
              <w:t>0.0</w:t>
            </w:r>
          </w:p>
        </w:tc>
        <w:tc>
          <w:tcPr>
            <w:tcW w:type="dxa" w:w="1440"/>
          </w:tcPr>
          <w:p>
            <w:r>
              <w:rPr>
                <w:sz w:val="18"/>
              </w:rPr>
              <w:t>0.2</w:t>
            </w:r>
          </w:p>
        </w:tc>
        <w:tc>
          <w:tcPr>
            <w:tcW w:type="dxa" w:w="1440"/>
          </w:tcPr>
          <w:p>
            <w:r>
              <w:rPr>
                <w:sz w:val="18"/>
              </w:rPr>
              <w:t>---</w:t>
            </w:r>
          </w:p>
        </w:tc>
      </w:tr>
    </w:tbl>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w:t>
      </w:r>
    </w:p>
    <w:p>
      <w:pPr>
        <w:pStyle w:val="Heading2"/>
      </w:pPr>
      <w:r>
        <w:t>7.3 磁気ラプラシアンの固有ベクトル</w:t>
      </w:r>
    </w:p>
    <w:p>
      <w:pPr/>
      <w:r>
        <w:rPr>
          <w:b w:val="0"/>
          <w:i w:val="0"/>
        </w:rPr>
        <w:t>式 (4) により α=0.6 で C_domain (表7.0) を60%の重み、データ駆動DPIを40%の重みで結合してユーティリティ有向グラフを構成し、q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図4は固有ベクトル成分の複素平面分布を示し、q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図4: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(図5)。</w:t>
      </w:r>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図5: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変数ペアについて3条件—DirectLiNGAM (A)、ドメイン知識付きスペクトル因果性 (B, α=0.6)、DPI単独スペクトル因果性 (C, α=0)—の因果方向を比較すると、一致と情報を含む不一致の両方が明らかになる。</w:t>
      </w:r>
    </w:p>
    <w:p>
      <w:pPr/>
      <w:r>
        <w:rPr>
          <w:b w:val="0"/>
          <w:i w:val="0"/>
        </w:rPr>
        <w:t>手法間の不一致は情報的である: スペクトル因果性 (BまたはC) がDirectLiNGAM (A) 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val="0"/>
          <w:i/>
        </w:rPr>
        <w:t>証明: データ駆動成分が D_data = D_data^T（対称）を満たす場合、ユーティリティ関数の反対称部分は A(α) = α·(C_domain - C_domain^T)/2 （任意の α&gt;0）。定理 8.1 により r_gradient は A の符号構造のみに依存し、これは全ての α&gt;0 で同一である。□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図6: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 (図7)。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図7: 知識品質の相転移（定理8.2）。辺方向反転率 p_flip の増加に伴い、勾配エネルギー比 r_gradient はU字型カーブを描く。理論予測 (1-2p)^2 r*（赤破線）は完全対称な反転を仮定。実測値（青、200試行、α=0.6）はDPIデータ駆動成分（40%重み）が不変のため乖離し、p=0.5でr_gradientはゼロに到達しない。臨界閾値 p*_flip ≈ 0.15 以下でDAG構造が維持される。</w:t>
      </w:r>
    </w:p>
    <w:p>
      <w:pPr/>
      <w:r>
        <w:rPr>
          <w:b/>
          <w:i/>
        </w:rPr>
        <w:t>注意 8.2 (生兵法は大怪我のもと)</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1965)。ECDアンサンブルは大幅に広いカバレッジを達成する。具体的にはLiNGAMはH1 (強さ) とH3 (特異性) をカバーするがH6/H7/H9は欠如。スペクトル因果性はユーティリティ関数を通じてH6 (妥当性), H7 (整合性), H9 (類似性) をカバーし、ECDアンサンブルは両方を統合しほぼ完全なカバレッジを達成する。</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r>
        <w:rPr>
          <w:b w:val="0"/>
          <w:i/>
        </w:rPr>
        <w:t>証明: α=0 ではユーティリティ関数は U(i,j) = D_DPI(i→j) に帰着。定理 10.1 により、各DPI成分はANM仮定下で識別可能であり (命題 4.1)、Ā(i,j) ≠ 0 が真の因果辺に対し正しい符号で成立する。したがって D_DPI(i→j) ≠ D_DPI(j→i) であり、ドメイン知識なしに非対称ユーティリティグラフが定義可能。□</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