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STROBE Statement—Checklist of items that should be included in reports of cross-sectional studies</w:t>
      </w:r>
    </w:p>
    <w:p>
      <w:pPr>
        <w:jc w:val="center"/>
      </w:pPr>
      <w:r>
        <w:rPr>
          <w:i/>
          <w:sz w:val="20"/>
        </w:rPr>
        <w:t>Targeted environmental regulation without observable collateral market damage: the EU desflurane ban and secondary market vaporizer prices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Section/Topic</w:t>
            </w:r>
          </w:p>
        </w:tc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Item No.</w:t>
            </w:r>
          </w:p>
        </w:tc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Recommendation</w:t>
            </w:r>
          </w:p>
        </w:tc>
        <w:tc>
          <w:tcPr>
            <w:tcW w:type="dxa" w:w="3784"/>
            <w:shd w:fill="D9E2F3" w:val="clear"/>
          </w:tcPr>
          <w:p>
            <w:pPr>
              <w:jc w:val="center"/>
            </w:pPr>
            <w:r>
              <w:rPr>
                <w:b/>
                <w:sz w:val="16"/>
              </w:rPr>
              <w:t>Reported on page/section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Title and abstract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Indicate the study’s design with a commonly used term in the title or abstract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Title: “cross-sectional time-series analysis” (implied)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Provide in the abstract an informative and balanced summary of what was done and found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Abstract: structured abstract with BACKGROUND, METHODS, RESULTS, CONCLUSIONS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Introduction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Background/rationale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Explain the scientific background and rationale for the investigation being reported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Introduction, paragraphs 1–4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Objectives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State specific objectives, including any prespecified hypotheses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Introduction, final paragraph: hypothesis that desflurane prices would decline while sevoflurane/isoflurane remain stable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Methods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Study design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Present key elements of study design early in the paper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Methods, “Study design and data source”: cross-sectional time-series analysis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Setting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Describe the setting, locations, and relevant dates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Methods: eBay/Terapeak, data collected March 2026, covering 28 March 2023–24 March 2026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Participants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Give the eligibility criteria, and the sources and methods of selection of participants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Methods, “Eligibility criteria”: inclusion/exclusion criteria detailed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Variables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Clearly define all outcomes, exposures, predictors, potential confounders, and effect modifiers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Methods, “Variables”: primary outcome (sale price), exposure (regulatory period), agent type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Data sources/measurement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For each variable of interest, give sources of data and details of methods of assessment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Methods: Terapeak product research tool; automated data retrieval with manual screening against eligibility criteria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Bias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Describe any efforts to address potential sources of bias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Methods/Discussion: single marketplace to avoid cross-listing duplicates; natural comparator groups (sevoflurane, isoflurane); causal limitations acknowledged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Study size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Explain how the study size was arrived at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Methods, “Statistical analysis”: all available transactions within Terapeak window; no a priori sample size calculation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Quantitative variables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Explain how quantitative variables were handled in the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Methods: prices in USD; regulatory period classified by milestones; trend analyses used continuous (days) and ordinal (phase 1–5) variables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Statistical methods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Describe all statistical methods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Methods, “Statistical analysis”: Spearman ρ (primary), Kendall τ, Mann–Whitney U (exploratory), Welch’s t-test, Cohen’s d, LOWESS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Describe any methods used to examine subgroups and interactions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Analyses performed separately for each agent type; supplementary asking-price analysis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(c) Explain how missing data were addressed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Methods, “Eligibility criteria”: listings with missing price data excluded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(d) If applicable, describe analytical methods taking account of sampling strategy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Not applicable (complete enumeration of available sales)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(e) Describe any sensitivity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Welch’s t-test as sensitivity analysis; quarterly aggregation for trend robustness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Results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Participants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Report numbers of individuals at each stage of study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Results, paragraph 1: total sales after exclusion criteria applied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Give reasons for non-participation at each stage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Methods, “Eligibility criteria”: exclusion criteria listed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(c) Consider use of a flow diagram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Not applicable (marketplace data, not participant recruitment)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Descriptive data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Give characteristics of study participants and information on exposures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Results, Table 2: n, mean, SD by agent and period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Indicate number of participants with missing data for each variable of interest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No missing data after eligibility screening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Outcome data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Report numbers of outcome events or summary measures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Results, Tables 1–2: all summary statistics and trend results by agent type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Main results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(a) Give unadjusted estimates and, if applicable, confounder-adjusted estimates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Results: Spearman ρ, Kendall τ, Mann–Whitney U P values, Cohen’s d reported for each agent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(b) Report category boundaries when continuous variables were categorized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Materials and Methods, “Variables”: regulatory period cutpoints defined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(c) If relevant, consider translating estimates into meaningful clinical measures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Results: percentage price decline and dollar values reported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Other analyses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Report other analyses done—e.g. subgroup, interaction, or sensitivity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Results: supplementary asking-price analysis; quarterly trend analysis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Discussion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Key results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Summarize key results with reference to study objectives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Discussion, paragraph 1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Limitations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 limitations, potential bias, imprecision, and multiplicity of analyses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Discussion, “Limitations” paragraph: observational design, single marketplace, no condition data, small post-ban n, global marketplace, no pre-proposal baseline, no causal inference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Interpretation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Give a cautious overall interpretation considering objectives, limitations, multiplicity of analyses, similar studies, and other relevant evidence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Discussion: comparison with literature, alternative explanations discussed, hypothesis-generating framing</w:t>
            </w:r>
          </w:p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Generalizability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 the generalizability (external validity) of the study results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Discussion: implications for facilities in other jurisdictions; limitations of single-platform data noted</w:t>
            </w:r>
          </w:p>
        </w:tc>
      </w:tr>
      <w:tr>
        <w:tc>
          <w:tcPr>
            <w:tcW w:type="dxa" w:w="3784"/>
            <w:shd w:fill="E8F0FE" w:val="clear"/>
          </w:tcPr>
          <w:p>
            <w:r>
              <w:rPr>
                <w:b/>
                <w:sz w:val="16"/>
              </w:rPr>
              <w:t>Other information</w:t>
            </w:r>
          </w:p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  <w:tc>
          <w:tcPr>
            <w:tcW w:type="dxa" w:w="3784"/>
            <w:shd w:fill="E8F0FE" w:val="clear"/>
          </w:tcPr>
          <w:p/>
        </w:tc>
      </w:tr>
      <w:tr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Funding</w:t>
            </w:r>
          </w:p>
        </w:tc>
        <w:tc>
          <w:tcPr>
            <w:tcW w:type="dxa" w:w="3784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Give the source of funding and the role of the funders</w:t>
            </w:r>
          </w:p>
        </w:tc>
        <w:tc>
          <w:tcPr>
            <w:tcW w:type="dxa" w:w="3784"/>
          </w:tcPr>
          <w:p>
            <w:pPr>
              <w:jc w:val="left"/>
            </w:pPr>
            <w:r>
              <w:rPr>
                <w:sz w:val="16"/>
              </w:rPr>
              <w:t>Funding: no external funding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