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not special connections: a dependence-aware baseline for archaic-segment sharing across 66 human populations</w:t>
      </w:r>
    </w:p>
    <w:p>
      <w:pPr>
        <w:jc w:val="center"/>
      </w:pPr>
      <w:r>
        <w:rPr>
          <w:b/>
        </w:rPr>
        <w:t>Original Article</w:t>
      </w:r>
    </w:p>
    <w:p>
      <w:pPr>
        <w:jc w:val="center"/>
      </w:pPr>
      <w:r>
        <w:rPr>
          <w:b/>
        </w:rPr>
        <w:t>Onishi Tatsuki</w:t>
      </w:r>
    </w:p>
    <w:p>
      <w:pPr>
        <w:jc w:val="center"/>
      </w:pPr>
      <w:r>
        <w:t>Data Science and AI Innovation Research Promotion Center</w:t>
      </w:r>
    </w:p>
    <w:p>
      <w:pPr>
        <w:jc w:val="center"/>
      </w:pPr>
      <w:r>
        <w:t>Onishi Tatsuki, Data Science and AI Innovation Research Promotion Center; Email: bougtoir@gmail.com</w:t>
      </w:r>
    </w:p>
    <w:p>
      <w:pPr>
        <w:jc w:val="center"/>
      </w:pPr>
      <w:r>
        <w:t>Running title: A dependence-aware archaic-sharing baseline</w:t>
      </w:r>
    </w:p>
    <w:p>
      <w:pPr>
        <w:pStyle w:val="Heading1"/>
      </w:pPr>
      <w:r>
        <w:t>Summary</w:t>
      </w:r>
    </w:p>
    <w:p>
      <w:pPr>
        <w:spacing w:line="360" w:lineRule="auto"/>
      </w:pPr>
      <w:r>
        <w:t>Archaic-like segments near focal loci such as the ABO blood-group gene are often read as evidence of special population connections or migration routes, yet such readings are rarely tested against a genome-wide baseline that respects the dependence structure of pairwise data. We built a reproducible baseline for population-level archaic-segment sharing and used it as a negative control. High-confidence Neanderthal and Denisovan introgression calls from 3,134 individuals in 66 populations were summarised in 500-kilobase windows, and profile similarity was computed for 2,145 population pairs. Distance associations and pair-level outliers were assessed with population-label permutation tests and false-discovery-rate control. Profile similarity declined with geographic distance for Neanderthal (r=-0.497) and Denisovan (r=-0.462) segments, with partial distance correlations of -0.369 and -0.326 and permutation P values of 0.0001 and 0.0002. No non-admixed pair reached both a residual above two standard deviations and a false-discovery rate below 0.10, and a prespecified ABO-window scan showed no route-level signal. Population-level archaic-segment sharing reflects broad geographic structure but supports neither exceptional population pairs nor an ABO-mediated migration history, providing a reusable baseline for evaluating focal-locus archaic claims.</w:t>
      </w:r>
    </w:p>
    <w:p>
      <w:r>
        <w:rPr>
          <w:b/>
        </w:rPr>
        <w:t xml:space="preserve">Keywords: </w:t>
      </w:r>
      <w:r>
        <w:t>ABO Blood-Group System; Gene Flow; Genetics, Population; Human Migration; Neanderthals</w:t>
      </w:r>
    </w:p>
    <w:p>
      <w:r>
        <w:br w:type="page"/>
      </w:r>
    </w:p>
    <w:p>
      <w:pPr>
        <w:pStyle w:val="Heading1"/>
      </w:pPr>
      <w:r>
        <w:t>Introduction</w:t>
      </w:r>
    </w:p>
    <w:p>
      <w:pPr>
        <w:ind w:firstLine="432"/>
      </w:pPr>
      <w:r>
        <w:rPr>
          <w:rFonts w:ascii="Times New Roman" w:hAnsi="Times New Roman"/>
          <w:i w:val="0"/>
          <w:sz w:val="24"/>
        </w:rPr>
        <w:t>Genomic comparisons established gene flow from Neanderthals (Homo neanderthalensis)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These differences invite a recurring style of inference in which shared archaic segments, often at a focal locus such as the ABO blood-group gene, are read as evidence of a special connection between two populations or of a particular migration route (Calafell et al. 2008; Halverson and Bolnick 2008; Condemi et al. 2021).</w:t>
      </w:r>
    </w:p>
    <w:p>
      <w:pPr>
        <w:ind w:firstLine="432"/>
      </w:pPr>
      <w:r>
        <w:rPr>
          <w:rFonts w:ascii="Times New Roman" w:hAnsi="Times New Roman"/>
          <w:i w:val="0"/>
          <w:sz w:val="24"/>
        </w:rPr>
        <w:t>Such claims are difficult to evaluate because pairwise profile similarity is dyadic: each of 66 populations appears in many pair rows, so the 2,145 pairs are not independent observations. Standard row-wise regressions, bootstraps, or response shuffles do not preserve this population-level dependence, and an apparently exceptional pair can arise from broad structure alone. What is generally missing is a genome-wide baseline that constructs population profiles reproducibly, tests distance and pair-level effects under a permutation scheme that respects the dependence structure, and applies explicit multiple-testing control. Quadratic assignment procedures (QAP) permute population labels on a complete matrix and provide exactly this kind of dependence-aware test (Krackhardt 1988; Dekker, Krackhardt, and Snijders 2007).</w:t>
      </w:r>
    </w:p>
    <w:p>
      <w:pPr>
        <w:ind w:firstLine="432"/>
      </w:pPr>
      <w:r>
        <w:rPr>
          <w:rFonts w:ascii="Times New Roman" w:hAnsi="Times New Roman"/>
          <w:i w:val="0"/>
          <w:sz w:val="24"/>
        </w:rPr>
        <w:t>We build such a baseline and treat it as a negative control. Using great-circle distance across 66 populations from the 1000 Genomes Project and Human Genome Diversity Project (HGDP), we test whether Neanderthal- and Denisovan-segment profile similarity declines with distance, whether any population pair is a false-discovery-rate-supported residual outlier, and whether a prespecified interval centered on the ABO blood-group locus, chosen because ABO has an unusually deep allelic history and has motivated founder-effect and archaic-background hypotheses (Segurel et al. 2012; Calafell et al. 2008; Halverson and Bolnick 2008; Condemi et al. 2021), shows anything beyond the genome-wide expectation. Robustness to alternative windows, similarity metrics, sample-size thresholds, datasets, co-located pairs, and regional omission is assessed throughout. The focal ABO analysis is prespecified as exploratory and is not used to infer a migration route.</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analyzed publicly archived segment calls generated with hmmix, a hidden Markov model-based method that detects candidate archaic sequence without requiring an unadmixed modern outgroup (Skov et al. 2018). Segment files for the 1000 Genomes Project and Human Genome Diversity Project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distance per 1,000 km, involvement of one of four designated recently admixed American populations: Puerto Ricans from Puerto Rico (PUR), Colombians from Medellín, Colombia (CLM), people with Mexican ancestry from Los Angeles, United States (MXL), or Peruvians from Lima, Peru (PEL). The model also included same-continent status and same-dataset status. These indicators are coarse sensitivity covariates, not individual ancestry estimates or causal controls. Distance-only models were also fit.</w:t>
      </w:r>
    </w:p>
    <w:p>
      <w:pPr>
        <w:ind w:firstLine="432"/>
      </w:pPr>
      <w:r>
        <w:rPr>
          <w:rFonts w:ascii="Times New Roman" w:hAnsi="Times New Roman"/>
          <w:i w:val="0"/>
          <w:sz w:val="24"/>
        </w:rPr>
        <w:t>Coefficient P values used 9,999 quadratic assignment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modeled using distance, same-continent status, and same-dataset status. Positive residuals were standardized by the residual standard deviation. For every pair, a one-sided nominal P value was calculated from its own residual null distribution across 9,999 population-label permutations. The Benjamini-Hochberg procedure was applied jointly to all non-admixed pairs within each ancestry analysis to control the false discovery rate (FDR) (Benjamini and Hochberg 1995). A supported positive outlier required z&gt;2 and q&lt;0.10.</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summarized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generalized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w:t>
      </w:r>
    </w:p>
    <w:p>
      <w:pPr>
        <w:spacing w:before="320"/>
        <w:jc w:val="center"/>
      </w:pPr>
      <w:r>
        <w:drawing>
          <wp:inline xmlns:a="http://schemas.openxmlformats.org/drawingml/2006/main" xmlns:pic="http://schemas.openxmlformats.org/drawingml/2006/picture">
            <wp:extent cx="5806440" cy="2714541"/>
            <wp:docPr id="1" name="Picture 1"/>
            <wp:cNvGraphicFramePr>
              <a:graphicFrameLocks noChangeAspect="1"/>
            </wp:cNvGraphicFramePr>
            <a:graphic>
              <a:graphicData uri="http://schemas.openxmlformats.org/drawingml/2006/picture">
                <pic:pic>
                  <pic:nvPicPr>
                    <pic:cNvPr id="0" name="fig1_sharing_vs_distance.png"/>
                    <pic:cNvPicPr/>
                  </pic:nvPicPr>
                  <pic:blipFill>
                    <a:blip r:embed="rId9"/>
                    <a:stretch>
                      <a:fillRect/>
                    </a:stretch>
                  </pic:blipFill>
                  <pic:spPr>
                    <a:xfrm>
                      <a:off x="0" y="0"/>
                      <a:ext cx="5806440" cy="2714541"/>
                    </a:xfrm>
                    <a:prstGeom prst="rect"/>
                  </pic:spPr>
                </pic:pic>
              </a:graphicData>
            </a:graphic>
          </wp:inline>
        </w:drawing>
      </w:r>
    </w:p>
    <w:p>
      <w:pPr>
        <w:spacing w:before="200" w:line="276" w:lineRule="auto"/>
      </w:pPr>
      <w:r>
        <w:rPr>
          <w:b/>
        </w:rPr>
        <w:t xml:space="preserve">Figure 1. </w:t>
      </w:r>
      <w:r>
        <w:t>Archaic-segment profile similarity and geographic distance. Each point is a dependent population pair. Lines are descriptive distance-only fits; reported P values use population-label quadratic assignment permutations.</w:t>
      </w:r>
    </w:p>
    <w:p>
      <w:pPr>
        <w:pStyle w:val="Heading2"/>
      </w:pPr>
      <w:r>
        <w:t>Population structure</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w:t>
      </w:r>
    </w:p>
    <w:p>
      <w:pPr>
        <w:spacing w:before="320"/>
        <w:jc w:val="center"/>
      </w:pPr>
      <w:r>
        <w:drawing>
          <wp:inline xmlns:a="http://schemas.openxmlformats.org/drawingml/2006/main" xmlns:pic="http://schemas.openxmlformats.org/drawingml/2006/picture">
            <wp:extent cx="5806440" cy="2695784"/>
            <wp:docPr id="2" name="Picture 2"/>
            <wp:cNvGraphicFramePr>
              <a:graphicFrameLocks noChangeAspect="1"/>
            </wp:cNvGraphicFramePr>
            <a:graphic>
              <a:graphicData uri="http://schemas.openxmlformats.org/drawingml/2006/picture">
                <pic:pic>
                  <pic:nvPicPr>
                    <pic:cNvPr id="0" name="fig2_sharing_heatmap.png"/>
                    <pic:cNvPicPr/>
                  </pic:nvPicPr>
                  <pic:blipFill>
                    <a:blip r:embed="rId10"/>
                    <a:stretch>
                      <a:fillRect/>
                    </a:stretch>
                  </pic:blipFill>
                  <pic:spPr>
                    <a:xfrm>
                      <a:off x="0" y="0"/>
                      <a:ext cx="5806440" cy="2695784"/>
                    </a:xfrm>
                    <a:prstGeom prst="rect"/>
                  </pic:spPr>
                </pic:pic>
              </a:graphicData>
            </a:graphic>
          </wp:inline>
        </w:drawing>
      </w:r>
    </w:p>
    <w:p>
      <w:pPr>
        <w:spacing w:before="200" w:line="276" w:lineRule="auto"/>
      </w:pPr>
      <w:r>
        <w:rPr>
          <w:b/>
        </w:rPr>
        <w:t xml:space="preserve">Figure 2. </w:t>
      </w:r>
      <w:r>
        <w:t>Pairwise archaic-segment profile similarity for 31 prespecified populations. The subset is displayed for legibility; all 66 populations were analyzed.</w:t>
      </w:r>
    </w:p>
    <w:p>
      <w:pPr>
        <w:pStyle w:val="Heading2"/>
      </w:pPr>
      <w:r>
        <w:t>Robustness analyses</w:t>
      </w:r>
    </w:p>
    <w:p>
      <w:pPr>
        <w:ind w:firstLine="432"/>
      </w:pPr>
      <w:r>
        <w:rPr>
          <w:rFonts w:ascii="Times New Roman" w:hAnsi="Times New Roman"/>
          <w:i w:val="0"/>
          <w:sz w:val="24"/>
        </w:rPr>
        <w:t>Negative distance correlations were examined across admixture exclusions, within-dataset subsets, minimum sample sizes, and regional omissions. Figure 3 shows the effect of excluding designated recently admixed populations, and Figure 4 shows window-size results at 250 kb, 500 kb, and 1 Mb. These analyses were treated as robustness checks rather than independent confirmatory tests.</w:t>
      </w:r>
    </w:p>
    <w:p>
      <w:pPr>
        <w:spacing w:before="320"/>
        <w:jc w:val="center"/>
      </w:pPr>
      <w:r>
        <w:drawing>
          <wp:inline xmlns:a="http://schemas.openxmlformats.org/drawingml/2006/main" xmlns:pic="http://schemas.openxmlformats.org/drawingml/2006/picture">
            <wp:extent cx="5806440" cy="3440471"/>
            <wp:docPr id="3" name="Picture 3"/>
            <wp:cNvGraphicFramePr>
              <a:graphicFrameLocks noChangeAspect="1"/>
            </wp:cNvGraphicFramePr>
            <a:graphic>
              <a:graphicData uri="http://schemas.openxmlformats.org/drawingml/2006/picture">
                <pic:pic>
                  <pic:nvPicPr>
                    <pic:cNvPr id="0" name="fig4_sensitivity_admixed.png"/>
                    <pic:cNvPicPr/>
                  </pic:nvPicPr>
                  <pic:blipFill>
                    <a:blip r:embed="rId11"/>
                    <a:stretch>
                      <a:fillRect/>
                    </a:stretch>
                  </pic:blipFill>
                  <pic:spPr>
                    <a:xfrm>
                      <a:off x="0" y="0"/>
                      <a:ext cx="5806440" cy="3440471"/>
                    </a:xfrm>
                    <a:prstGeom prst="rect"/>
                  </pic:spPr>
                </pic:pic>
              </a:graphicData>
            </a:graphic>
          </wp:inline>
        </w:drawing>
      </w:r>
    </w:p>
    <w:p>
      <w:pPr>
        <w:spacing w:before="200" w:line="276" w:lineRule="auto"/>
      </w:pPr>
      <w:r>
        <w:rPr>
          <w:b/>
        </w:rPr>
        <w:t xml:space="preserve">Figure 3. </w:t>
      </w:r>
      <w:r>
        <w:t>Sensitivity of the descriptive Neanderthal distance correlation to exclusion of designated recently admixed populations.</w:t>
      </w:r>
    </w:p>
    <w:p>
      <w:pPr>
        <w:spacing w:before="320"/>
        <w:jc w:val="center"/>
      </w:pPr>
      <w:r>
        <w:drawing>
          <wp:inline xmlns:a="http://schemas.openxmlformats.org/drawingml/2006/main" xmlns:pic="http://schemas.openxmlformats.org/drawingml/2006/picture">
            <wp:extent cx="5806440" cy="3705395"/>
            <wp:docPr id="4" name="Picture 4"/>
            <wp:cNvGraphicFramePr>
              <a:graphicFrameLocks noChangeAspect="1"/>
            </wp:cNvGraphicFramePr>
            <a:graphic>
              <a:graphicData uri="http://schemas.openxmlformats.org/drawingml/2006/picture">
                <pic:pic>
                  <pic:nvPicPr>
                    <pic:cNvPr id="0" name="fig5_window_sensitivity.png"/>
                    <pic:cNvPicPr/>
                  </pic:nvPicPr>
                  <pic:blipFill>
                    <a:blip r:embed="rId12"/>
                    <a:stretch>
                      <a:fillRect/>
                    </a:stretch>
                  </pic:blipFill>
                  <pic:spPr>
                    <a:xfrm>
                      <a:off x="0" y="0"/>
                      <a:ext cx="5806440" cy="3705395"/>
                    </a:xfrm>
                    <a:prstGeom prst="rect"/>
                  </pic:spPr>
                </pic:pic>
              </a:graphicData>
            </a:graphic>
          </wp:inline>
        </w:drawing>
      </w:r>
    </w:p>
    <w:p>
      <w:pPr>
        <w:spacing w:before="200" w:line="276" w:lineRule="auto"/>
      </w:pPr>
      <w:r>
        <w:rPr>
          <w:b/>
        </w:rPr>
        <w:t xml:space="preserve">Figure 4. </w:t>
      </w:r>
      <w:r>
        <w:t>Descriptive geographic distance correlations at 250-kb, 500-kb, and 1-Mb window sizes. Quadratic assignment procedure results are tabulated in Supplementary Data.</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 (Table 1).</w:t>
      </w:r>
    </w:p>
    <w:p>
      <w:pPr>
        <w:spacing w:before="280"/>
      </w:pPr>
      <w:r>
        <w:rPr>
          <w:b/>
        </w:rPr>
        <w:t>Table 1. Positive-residual Neanderthal pairs after false discovery rate control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AF7"/>
          </w:tcPr>
          <w:p>
            <w:pPr>
              <w:spacing w:line="240" w:lineRule="auto"/>
            </w:pPr>
            <w:r>
              <w:rPr>
                <w:rFonts w:ascii="Arial" w:hAnsi="Arial"/>
                <w:b/>
                <w:sz w:val="17"/>
              </w:rPr>
              <w:t>Population 1</w:t>
            </w:r>
          </w:p>
        </w:tc>
        <w:tc>
          <w:tcPr>
            <w:tcW w:type="dxa" w:w="1337"/>
            <w:shd w:fill="D9EAF7"/>
          </w:tcPr>
          <w:p>
            <w:pPr>
              <w:spacing w:line="240" w:lineRule="auto"/>
            </w:pPr>
            <w:r>
              <w:rPr>
                <w:rFonts w:ascii="Arial" w:hAnsi="Arial"/>
                <w:b/>
                <w:sz w:val="17"/>
              </w:rPr>
              <w:t>Population 2</w:t>
            </w:r>
          </w:p>
        </w:tc>
        <w:tc>
          <w:tcPr>
            <w:tcW w:type="dxa" w:w="1337"/>
            <w:shd w:fill="D9EAF7"/>
          </w:tcPr>
          <w:p>
            <w:pPr>
              <w:spacing w:line="240" w:lineRule="auto"/>
            </w:pPr>
            <w:r>
              <w:rPr>
                <w:rFonts w:ascii="Arial" w:hAnsi="Arial"/>
                <w:b/>
                <w:sz w:val="17"/>
              </w:rPr>
              <w:t>Region 1</w:t>
            </w:r>
          </w:p>
        </w:tc>
        <w:tc>
          <w:tcPr>
            <w:tcW w:type="dxa" w:w="1337"/>
            <w:shd w:fill="D9EAF7"/>
          </w:tcPr>
          <w:p>
            <w:pPr>
              <w:spacing w:line="240" w:lineRule="auto"/>
            </w:pPr>
            <w:r>
              <w:rPr>
                <w:rFonts w:ascii="Arial" w:hAnsi="Arial"/>
                <w:b/>
                <w:sz w:val="17"/>
              </w:rPr>
              <w:t>Region 2</w:t>
            </w:r>
          </w:p>
        </w:tc>
        <w:tc>
          <w:tcPr>
            <w:tcW w:type="dxa" w:w="1337"/>
            <w:shd w:fill="D9EAF7"/>
          </w:tcPr>
          <w:p>
            <w:pPr>
              <w:spacing w:line="240" w:lineRule="auto"/>
            </w:pPr>
            <w:r>
              <w:rPr>
                <w:rFonts w:ascii="Arial" w:hAnsi="Arial"/>
                <w:b/>
                <w:sz w:val="17"/>
              </w:rPr>
              <w:t>Distance (km)</w:t>
            </w:r>
          </w:p>
        </w:tc>
        <w:tc>
          <w:tcPr>
            <w:tcW w:type="dxa" w:w="1337"/>
            <w:shd w:fill="D9EAF7"/>
          </w:tcPr>
          <w:p>
            <w:pPr>
              <w:spacing w:line="240" w:lineRule="auto"/>
            </w:pPr>
            <w:r>
              <w:rPr>
                <w:rFonts w:ascii="Arial" w:hAnsi="Arial"/>
                <w:b/>
                <w:sz w:val="17"/>
              </w:rPr>
              <w:t>Sharing (r)</w:t>
            </w:r>
          </w:p>
        </w:tc>
        <w:tc>
          <w:tcPr>
            <w:tcW w:type="dxa" w:w="1337"/>
            <w:shd w:fill="D9EAF7"/>
          </w:tcPr>
          <w:p>
            <w:pPr>
              <w:spacing w:line="240" w:lineRule="auto"/>
            </w:pPr>
            <w:r>
              <w:rPr>
                <w:rFonts w:ascii="Arial" w:hAnsi="Arial"/>
                <w:b/>
                <w:sz w:val="17"/>
              </w:rPr>
              <w:t>z-score</w:t>
            </w:r>
          </w:p>
        </w:tc>
      </w:tr>
      <w:tr>
        <w:tc>
          <w:tcPr>
            <w:tcW w:type="dxa" w:w="1337"/>
          </w:tcPr>
          <w:p>
            <w:pPr>
              <w:spacing w:line="240" w:lineRule="auto"/>
            </w:pPr>
            <w:r>
              <w:rPr>
                <w:rFonts w:ascii="Arial" w:hAnsi="Arial"/>
                <w:b w:val="0"/>
                <w:sz w:val="17"/>
              </w:rPr>
              <w:t>No qualifying pair</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No z&gt;2 and q&lt;0.10 result</w:t>
            </w:r>
          </w:p>
        </w:tc>
      </w:tr>
    </w:tbl>
    <w:p>
      <w:pPr>
        <w:spacing w:line="240" w:lineRule="auto"/>
      </w:pPr>
      <w:r>
        <w:rPr>
          <w:sz w:val="18"/>
        </w:rPr>
        <w:t>Note. The prespecified family contains all non-admixed population pairs. No pair met both z&gt;2 and Benjamini-Hochberg q&lt;0.10; the Denisovan analysis likewise identified no qualifying pair. Complete nominal rankings and dependence-aware model results are provided in Supplementary Data.</w:t>
      </w:r>
    </w:p>
    <w:p>
      <w:pPr>
        <w:pStyle w:val="Heading2"/>
      </w:pPr>
      <w:r>
        <w:t>Secondary ABO-window observations</w:t>
      </w:r>
    </w:p>
    <w:p>
      <w:pPr>
        <w:ind w:firstLine="432"/>
      </w:pPr>
      <w:r>
        <w:rPr>
          <w:rFonts w:ascii="Times New Roman" w:hAnsi="Times New Roman"/>
          <w:i w:val="0"/>
          <w:sz w:val="24"/>
        </w:rPr>
        <w:t>The 500-kb ABO-centered scan identified 834 Neanderthal or Both source segments, of which 129 overlapped the ABO gene. Of the 834 interval segments, 247 had tied maximum reference similarity and were not forced to a lineage. In the Indigenous American HGDP subset, one Pima segment overlapped ABO and one Maya segment lay downstream within the wider interval. Both were Vindija-closest, but two segments among 41 represented individuals do not support a regional proportion or migration-route inference (Figure 5; Table 2).</w:t>
      </w:r>
    </w:p>
    <w:p>
      <w:pPr>
        <w:spacing w:before="320"/>
        <w:jc w:val="center"/>
      </w:pPr>
      <w:r>
        <w:drawing>
          <wp:inline xmlns:a="http://schemas.openxmlformats.org/drawingml/2006/main" xmlns:pic="http://schemas.openxmlformats.org/drawingml/2006/picture">
            <wp:extent cx="5806440" cy="2332323"/>
            <wp:docPr id="5" name="Picture 5"/>
            <wp:cNvGraphicFramePr>
              <a:graphicFrameLocks noChangeAspect="1"/>
            </wp:cNvGraphicFramePr>
            <a:graphic>
              <a:graphicData uri="http://schemas.openxmlformats.org/drawingml/2006/picture">
                <pic:pic>
                  <pic:nvPicPr>
                    <pic:cNvPr id="0" name="fig5_abo_sublineage.png"/>
                    <pic:cNvPicPr/>
                  </pic:nvPicPr>
                  <pic:blipFill>
                    <a:blip r:embed="rId13"/>
                    <a:stretch>
                      <a:fillRect/>
                    </a:stretch>
                  </pic:blipFill>
                  <pic:spPr>
                    <a:xfrm>
                      <a:off x="0" y="0"/>
                      <a:ext cx="5806440" cy="2332323"/>
                    </a:xfrm>
                    <a:prstGeom prst="rect"/>
                  </pic:spPr>
                </pic:pic>
              </a:graphicData>
            </a:graphic>
          </wp:inline>
        </w:drawing>
      </w:r>
    </w:p>
    <w:p>
      <w:pPr>
        <w:spacing w:before="200" w:line="276" w:lineRule="auto"/>
      </w:pPr>
      <w:r>
        <w:rPr>
          <w:b/>
        </w:rPr>
        <w:t xml:space="preserve">Figure 5. </w:t>
      </w:r>
      <w:r>
        <w:t>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w:t>
      </w:r>
    </w:p>
    <w:p>
      <w:pPr>
        <w:spacing w:before="280"/>
      </w:pPr>
      <w:r>
        <w:rPr>
          <w:b/>
        </w:rPr>
        <w:t>Table 2. ABO-window Neanderthal-reference composition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AF7"/>
          </w:tcPr>
          <w:p>
            <w:pPr>
              <w:spacing w:line="240" w:lineRule="auto"/>
            </w:pPr>
            <w:r>
              <w:rPr>
                <w:rFonts w:ascii="Arial" w:hAnsi="Arial"/>
                <w:b/>
                <w:sz w:val="17"/>
              </w:rPr>
              <w:t>Region</w:t>
            </w:r>
          </w:p>
        </w:tc>
        <w:tc>
          <w:tcPr>
            <w:tcW w:type="dxa" w:w="1872"/>
            <w:shd w:fill="D9EAF7"/>
          </w:tcPr>
          <w:p>
            <w:pPr>
              <w:spacing w:line="240" w:lineRule="auto"/>
            </w:pPr>
            <w:r>
              <w:rPr>
                <w:rFonts w:ascii="Arial" w:hAnsi="Arial"/>
                <w:b/>
                <w:sz w:val="17"/>
              </w:rPr>
              <w:t>n</w:t>
            </w:r>
          </w:p>
        </w:tc>
        <w:tc>
          <w:tcPr>
            <w:tcW w:type="dxa" w:w="1872"/>
            <w:shd w:fill="D9EAF7"/>
          </w:tcPr>
          <w:p>
            <w:pPr>
              <w:spacing w:line="240" w:lineRule="auto"/>
            </w:pPr>
            <w:r>
              <w:rPr>
                <w:rFonts w:ascii="Arial" w:hAnsi="Arial"/>
                <w:b/>
                <w:sz w:val="17"/>
              </w:rPr>
              <w:t>Altai %</w:t>
            </w:r>
          </w:p>
        </w:tc>
        <w:tc>
          <w:tcPr>
            <w:tcW w:type="dxa" w:w="1872"/>
            <w:shd w:fill="D9EAF7"/>
          </w:tcPr>
          <w:p>
            <w:pPr>
              <w:spacing w:line="240" w:lineRule="auto"/>
            </w:pPr>
            <w:r>
              <w:rPr>
                <w:rFonts w:ascii="Arial" w:hAnsi="Arial"/>
                <w:b/>
                <w:sz w:val="17"/>
              </w:rPr>
              <w:t>Vindija %</w:t>
            </w:r>
          </w:p>
        </w:tc>
        <w:tc>
          <w:tcPr>
            <w:tcW w:type="dxa" w:w="1872"/>
            <w:shd w:fill="D9EAF7"/>
          </w:tcPr>
          <w:p>
            <w:pPr>
              <w:spacing w:line="240" w:lineRule="auto"/>
            </w:pPr>
            <w:r>
              <w:rPr>
                <w:rFonts w:ascii="Arial" w:hAnsi="Arial"/>
                <w:b/>
                <w:sz w:val="17"/>
              </w:rPr>
              <w:t>Chagyrskaya %</w:t>
            </w:r>
          </w:p>
        </w:tc>
      </w:tr>
      <w:tr>
        <w:tc>
          <w:tcPr>
            <w:tcW w:type="dxa" w:w="1872"/>
          </w:tcPr>
          <w:p>
            <w:pPr>
              <w:spacing w:line="240" w:lineRule="auto"/>
            </w:pPr>
            <w:r>
              <w:rPr>
                <w:rFonts w:ascii="Arial" w:hAnsi="Arial"/>
                <w:b w:val="0"/>
                <w:sz w:val="17"/>
              </w:rPr>
              <w:t>East Asia</w:t>
            </w:r>
          </w:p>
        </w:tc>
        <w:tc>
          <w:tcPr>
            <w:tcW w:type="dxa" w:w="1872"/>
          </w:tcPr>
          <w:p>
            <w:pPr>
              <w:spacing w:line="240" w:lineRule="auto"/>
            </w:pPr>
            <w:r>
              <w:rPr>
                <w:rFonts w:ascii="Arial" w:hAnsi="Arial"/>
                <w:b w:val="0"/>
                <w:sz w:val="17"/>
              </w:rPr>
              <w:t>57</w:t>
            </w:r>
          </w:p>
        </w:tc>
        <w:tc>
          <w:tcPr>
            <w:tcW w:type="dxa" w:w="1872"/>
          </w:tcPr>
          <w:p>
            <w:pPr>
              <w:spacing w:line="240" w:lineRule="auto"/>
            </w:pPr>
            <w:r>
              <w:rPr>
                <w:rFonts w:ascii="Arial" w:hAnsi="Arial"/>
                <w:b w:val="0"/>
                <w:sz w:val="17"/>
              </w:rPr>
              <w:t>54.4</w:t>
            </w:r>
          </w:p>
        </w:tc>
        <w:tc>
          <w:tcPr>
            <w:tcW w:type="dxa" w:w="1872"/>
          </w:tcPr>
          <w:p>
            <w:pPr>
              <w:spacing w:line="240" w:lineRule="auto"/>
            </w:pPr>
            <w:r>
              <w:rPr>
                <w:rFonts w:ascii="Arial" w:hAnsi="Arial"/>
                <w:b w:val="0"/>
                <w:sz w:val="17"/>
              </w:rPr>
              <w:t>1.8</w:t>
            </w:r>
          </w:p>
        </w:tc>
        <w:tc>
          <w:tcPr>
            <w:tcW w:type="dxa" w:w="1872"/>
          </w:tcPr>
          <w:p>
            <w:pPr>
              <w:spacing w:line="240" w:lineRule="auto"/>
            </w:pPr>
            <w:r>
              <w:rPr>
                <w:rFonts w:ascii="Arial" w:hAnsi="Arial"/>
                <w:b w:val="0"/>
                <w:sz w:val="17"/>
              </w:rPr>
              <w:t>43.9</w:t>
            </w:r>
          </w:p>
        </w:tc>
      </w:tr>
      <w:tr>
        <w:tc>
          <w:tcPr>
            <w:tcW w:type="dxa" w:w="1872"/>
          </w:tcPr>
          <w:p>
            <w:pPr>
              <w:spacing w:line="240" w:lineRule="auto"/>
            </w:pPr>
            <w:r>
              <w:rPr>
                <w:rFonts w:ascii="Arial" w:hAnsi="Arial"/>
                <w:b w:val="0"/>
                <w:sz w:val="17"/>
              </w:rPr>
              <w:t>Europe</w:t>
            </w:r>
          </w:p>
        </w:tc>
        <w:tc>
          <w:tcPr>
            <w:tcW w:type="dxa" w:w="1872"/>
          </w:tcPr>
          <w:p>
            <w:pPr>
              <w:spacing w:line="240" w:lineRule="auto"/>
            </w:pPr>
            <w:r>
              <w:rPr>
                <w:rFonts w:ascii="Arial" w:hAnsi="Arial"/>
                <w:b w:val="0"/>
                <w:sz w:val="17"/>
              </w:rPr>
              <w:t>275</w:t>
            </w:r>
          </w:p>
        </w:tc>
        <w:tc>
          <w:tcPr>
            <w:tcW w:type="dxa" w:w="1872"/>
          </w:tcPr>
          <w:p>
            <w:pPr>
              <w:spacing w:line="240" w:lineRule="auto"/>
            </w:pPr>
            <w:r>
              <w:rPr>
                <w:rFonts w:ascii="Arial" w:hAnsi="Arial"/>
                <w:b w:val="0"/>
                <w:sz w:val="17"/>
              </w:rPr>
              <w:t>7.3</w:t>
            </w:r>
          </w:p>
        </w:tc>
        <w:tc>
          <w:tcPr>
            <w:tcW w:type="dxa" w:w="1872"/>
          </w:tcPr>
          <w:p>
            <w:pPr>
              <w:spacing w:line="240" w:lineRule="auto"/>
            </w:pPr>
            <w:r>
              <w:rPr>
                <w:rFonts w:ascii="Arial" w:hAnsi="Arial"/>
                <w:b w:val="0"/>
                <w:sz w:val="17"/>
              </w:rPr>
              <w:t>46.5</w:t>
            </w:r>
          </w:p>
        </w:tc>
        <w:tc>
          <w:tcPr>
            <w:tcW w:type="dxa" w:w="1872"/>
          </w:tcPr>
          <w:p>
            <w:pPr>
              <w:spacing w:line="240" w:lineRule="auto"/>
            </w:pPr>
            <w:r>
              <w:rPr>
                <w:rFonts w:ascii="Arial" w:hAnsi="Arial"/>
                <w:b w:val="0"/>
                <w:sz w:val="17"/>
              </w:rPr>
              <w:t>46.2</w:t>
            </w:r>
          </w:p>
        </w:tc>
      </w:tr>
      <w:tr>
        <w:tc>
          <w:tcPr>
            <w:tcW w:type="dxa" w:w="1872"/>
          </w:tcPr>
          <w:p>
            <w:pPr>
              <w:spacing w:line="240" w:lineRule="auto"/>
            </w:pPr>
            <w:r>
              <w:rPr>
                <w:rFonts w:ascii="Arial" w:hAnsi="Arial"/>
                <w:b w:val="0"/>
                <w:sz w:val="17"/>
              </w:rPr>
              <w:t>Indigenous Americas</w:t>
            </w:r>
          </w:p>
        </w:tc>
        <w:tc>
          <w:tcPr>
            <w:tcW w:type="dxa" w:w="1872"/>
          </w:tcPr>
          <w:p>
            <w:pPr>
              <w:spacing w:line="240" w:lineRule="auto"/>
            </w:pPr>
            <w:r>
              <w:rPr>
                <w:rFonts w:ascii="Arial" w:hAnsi="Arial"/>
                <w:b w:val="0"/>
                <w:sz w:val="17"/>
              </w:rPr>
              <w:t>2</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100.0</w:t>
            </w:r>
          </w:p>
        </w:tc>
        <w:tc>
          <w:tcPr>
            <w:tcW w:type="dxa" w:w="1872"/>
          </w:tcPr>
          <w:p>
            <w:pPr>
              <w:spacing w:line="240" w:lineRule="auto"/>
            </w:pPr>
            <w:r>
              <w:rPr>
                <w:rFonts w:ascii="Arial" w:hAnsi="Arial"/>
                <w:b w:val="0"/>
                <w:sz w:val="17"/>
              </w:rPr>
              <w:t>0.0</w:t>
            </w:r>
          </w:p>
        </w:tc>
      </w:tr>
      <w:tr>
        <w:tc>
          <w:tcPr>
            <w:tcW w:type="dxa" w:w="1872"/>
          </w:tcPr>
          <w:p>
            <w:pPr>
              <w:spacing w:line="240" w:lineRule="auto"/>
            </w:pPr>
            <w:r>
              <w:rPr>
                <w:rFonts w:ascii="Arial" w:hAnsi="Arial"/>
                <w:b w:val="0"/>
                <w:sz w:val="17"/>
              </w:rPr>
              <w:t>Admixed Americas</w:t>
            </w:r>
          </w:p>
        </w:tc>
        <w:tc>
          <w:tcPr>
            <w:tcW w:type="dxa" w:w="1872"/>
          </w:tcPr>
          <w:p>
            <w:pPr>
              <w:spacing w:line="240" w:lineRule="auto"/>
            </w:pPr>
            <w:r>
              <w:rPr>
                <w:rFonts w:ascii="Arial" w:hAnsi="Arial"/>
                <w:b w:val="0"/>
                <w:sz w:val="17"/>
              </w:rPr>
              <w:t>98</w:t>
            </w:r>
          </w:p>
        </w:tc>
        <w:tc>
          <w:tcPr>
            <w:tcW w:type="dxa" w:w="1872"/>
          </w:tcPr>
          <w:p>
            <w:pPr>
              <w:spacing w:line="240" w:lineRule="auto"/>
            </w:pPr>
            <w:r>
              <w:rPr>
                <w:rFonts w:ascii="Arial" w:hAnsi="Arial"/>
                <w:b w:val="0"/>
                <w:sz w:val="17"/>
              </w:rPr>
              <w:t>3.1</w:t>
            </w:r>
          </w:p>
        </w:tc>
        <w:tc>
          <w:tcPr>
            <w:tcW w:type="dxa" w:w="1872"/>
          </w:tcPr>
          <w:p>
            <w:pPr>
              <w:spacing w:line="240" w:lineRule="auto"/>
            </w:pPr>
            <w:r>
              <w:rPr>
                <w:rFonts w:ascii="Arial" w:hAnsi="Arial"/>
                <w:b w:val="0"/>
                <w:sz w:val="17"/>
              </w:rPr>
              <w:t>61.2</w:t>
            </w:r>
          </w:p>
        </w:tc>
        <w:tc>
          <w:tcPr>
            <w:tcW w:type="dxa" w:w="1872"/>
          </w:tcPr>
          <w:p>
            <w:pPr>
              <w:spacing w:line="240" w:lineRule="auto"/>
            </w:pPr>
            <w:r>
              <w:rPr>
                <w:rFonts w:ascii="Arial" w:hAnsi="Arial"/>
                <w:b w:val="0"/>
                <w:sz w:val="17"/>
              </w:rPr>
              <w:t>35.7</w:t>
            </w:r>
          </w:p>
        </w:tc>
      </w:tr>
      <w:tr>
        <w:tc>
          <w:tcPr>
            <w:tcW w:type="dxa" w:w="1872"/>
          </w:tcPr>
          <w:p>
            <w:pPr>
              <w:spacing w:line="240" w:lineRule="auto"/>
            </w:pPr>
            <w:r>
              <w:rPr>
                <w:rFonts w:ascii="Arial" w:hAnsi="Arial"/>
                <w:b w:val="0"/>
                <w:sz w:val="17"/>
              </w:rPr>
              <w:t>Central/South Asia</w:t>
            </w:r>
          </w:p>
        </w:tc>
        <w:tc>
          <w:tcPr>
            <w:tcW w:type="dxa" w:w="1872"/>
          </w:tcPr>
          <w:p>
            <w:pPr>
              <w:spacing w:line="240" w:lineRule="auto"/>
            </w:pPr>
            <w:r>
              <w:rPr>
                <w:rFonts w:ascii="Arial" w:hAnsi="Arial"/>
                <w:b w:val="0"/>
                <w:sz w:val="17"/>
              </w:rPr>
              <w:t>98</w:t>
            </w:r>
          </w:p>
        </w:tc>
        <w:tc>
          <w:tcPr>
            <w:tcW w:type="dxa" w:w="1872"/>
          </w:tcPr>
          <w:p>
            <w:pPr>
              <w:spacing w:line="240" w:lineRule="auto"/>
            </w:pPr>
            <w:r>
              <w:rPr>
                <w:rFonts w:ascii="Arial" w:hAnsi="Arial"/>
                <w:b w:val="0"/>
                <w:sz w:val="17"/>
              </w:rPr>
              <w:t>9.2</w:t>
            </w:r>
          </w:p>
        </w:tc>
        <w:tc>
          <w:tcPr>
            <w:tcW w:type="dxa" w:w="1872"/>
          </w:tcPr>
          <w:p>
            <w:pPr>
              <w:spacing w:line="240" w:lineRule="auto"/>
            </w:pPr>
            <w:r>
              <w:rPr>
                <w:rFonts w:ascii="Arial" w:hAnsi="Arial"/>
                <w:b w:val="0"/>
                <w:sz w:val="17"/>
              </w:rPr>
              <w:t>44.9</w:t>
            </w:r>
          </w:p>
        </w:tc>
        <w:tc>
          <w:tcPr>
            <w:tcW w:type="dxa" w:w="1872"/>
          </w:tcPr>
          <w:p>
            <w:pPr>
              <w:spacing w:line="240" w:lineRule="auto"/>
            </w:pPr>
            <w:r>
              <w:rPr>
                <w:rFonts w:ascii="Arial" w:hAnsi="Arial"/>
                <w:b w:val="0"/>
                <w:sz w:val="17"/>
              </w:rPr>
              <w:t>45.9</w:t>
            </w:r>
          </w:p>
        </w:tc>
      </w:tr>
      <w:tr>
        <w:tc>
          <w:tcPr>
            <w:tcW w:type="dxa" w:w="1872"/>
          </w:tcPr>
          <w:p>
            <w:pPr>
              <w:spacing w:line="240" w:lineRule="auto"/>
            </w:pPr>
            <w:r>
              <w:rPr>
                <w:rFonts w:ascii="Arial" w:hAnsi="Arial"/>
                <w:b w:val="0"/>
                <w:sz w:val="17"/>
              </w:rPr>
              <w:t>Middle East</w:t>
            </w:r>
          </w:p>
        </w:tc>
        <w:tc>
          <w:tcPr>
            <w:tcW w:type="dxa" w:w="1872"/>
          </w:tcPr>
          <w:p>
            <w:pPr>
              <w:spacing w:line="240" w:lineRule="auto"/>
            </w:pPr>
            <w:r>
              <w:rPr>
                <w:rFonts w:ascii="Arial" w:hAnsi="Arial"/>
                <w:b w:val="0"/>
                <w:sz w:val="17"/>
              </w:rPr>
              <w:t>44</w:t>
            </w:r>
          </w:p>
        </w:tc>
        <w:tc>
          <w:tcPr>
            <w:tcW w:type="dxa" w:w="1872"/>
          </w:tcPr>
          <w:p>
            <w:pPr>
              <w:spacing w:line="240" w:lineRule="auto"/>
            </w:pPr>
            <w:r>
              <w:rPr>
                <w:rFonts w:ascii="Arial" w:hAnsi="Arial"/>
                <w:b w:val="0"/>
                <w:sz w:val="17"/>
              </w:rPr>
              <w:t>11.4</w:t>
            </w:r>
          </w:p>
        </w:tc>
        <w:tc>
          <w:tcPr>
            <w:tcW w:type="dxa" w:w="1872"/>
          </w:tcPr>
          <w:p>
            <w:pPr>
              <w:spacing w:line="240" w:lineRule="auto"/>
            </w:pPr>
            <w:r>
              <w:rPr>
                <w:rFonts w:ascii="Arial" w:hAnsi="Arial"/>
                <w:b w:val="0"/>
                <w:sz w:val="17"/>
              </w:rPr>
              <w:t>52.3</w:t>
            </w:r>
          </w:p>
        </w:tc>
        <w:tc>
          <w:tcPr>
            <w:tcW w:type="dxa" w:w="1872"/>
          </w:tcPr>
          <w:p>
            <w:pPr>
              <w:spacing w:line="240" w:lineRule="auto"/>
            </w:pPr>
            <w:r>
              <w:rPr>
                <w:rFonts w:ascii="Arial" w:hAnsi="Arial"/>
                <w:b w:val="0"/>
                <w:sz w:val="17"/>
              </w:rPr>
              <w:t>36.4</w:t>
            </w:r>
          </w:p>
        </w:tc>
      </w:tr>
      <w:tr>
        <w:tc>
          <w:tcPr>
            <w:tcW w:type="dxa" w:w="1872"/>
          </w:tcPr>
          <w:p>
            <w:pPr>
              <w:spacing w:line="240" w:lineRule="auto"/>
            </w:pPr>
            <w:r>
              <w:rPr>
                <w:rFonts w:ascii="Arial" w:hAnsi="Arial"/>
                <w:b w:val="0"/>
                <w:sz w:val="17"/>
              </w:rPr>
              <w:t>Oceania</w:t>
            </w:r>
          </w:p>
        </w:tc>
        <w:tc>
          <w:tcPr>
            <w:tcW w:type="dxa" w:w="1872"/>
          </w:tcPr>
          <w:p>
            <w:pPr>
              <w:spacing w:line="240" w:lineRule="auto"/>
            </w:pPr>
            <w:r>
              <w:rPr>
                <w:rFonts w:ascii="Arial" w:hAnsi="Arial"/>
                <w:b w:val="0"/>
                <w:sz w:val="17"/>
              </w:rPr>
              <w:t>13</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100.0</w:t>
            </w:r>
          </w:p>
        </w:tc>
      </w:tr>
    </w:tbl>
    <w:p>
      <w:pPr>
        <w:spacing w:line="240" w:lineRule="auto"/>
      </w:pPr>
      <w:r>
        <w:rPr>
          <w:sz w:val="18"/>
        </w:rPr>
        <w:t>Note. Counts are classifiable segments, not individuals. Percentages use the three-reference denominator shown by n. Equal maximum-similarity ties are excluded from these percentages but retained in Supplementary Data. The 2/2 Indigenous American value is not a regional frequency estimate; only one segment overlaps ABO.</w:t>
      </w:r>
    </w:p>
    <w:p>
      <w:pPr>
        <w:pStyle w:val="Heading2"/>
      </w:pPr>
      <w:r>
        <w:t>Contextual and schematic displays</w:t>
      </w:r>
    </w:p>
    <w:p>
      <w:pPr>
        <w:ind w:firstLine="432"/>
      </w:pPr>
      <w:r>
        <w:rPr>
          <w:rFonts w:ascii="Times New Roman" w:hAnsi="Times New Roman"/>
          <w:i w:val="0"/>
          <w:sz w:val="24"/>
        </w:rPr>
        <w:t>Several contextual and schematic displays are provided as supplementary figures because they do not derive from the pairwise analysis. A Minard-style schematic places the analysis within broad dispersal and archaic-introgression contexts, with illustrative band widths and event placement (Figure S2). The O2-defining allele and ABO-window carrier summaries use different sources and are displayed descriptively rather than as an association analysis (Figure S3). An Ancient North Eurasian pathway is retained as a testable contextual hypothesis, not a route inferred from the two Indigenous American segment records (Figure S4). Ancient and modern ABO-window observations were produced by different pipelines and permit no formal temporal comparison (Figure S5). A bivariate global map summarising each population's mean Neanderthal and Denisovan segment coverage from the present profiles provides broad geographic context and was not used in the statistical models (Figure S6).</w:t>
      </w:r>
    </w:p>
    <w:p>
      <w:pPr>
        <w:pStyle w:val="Heading1"/>
      </w:pPr>
      <w:r>
        <w:t>Discussion</w:t>
      </w:r>
    </w:p>
    <w:p>
      <w:pPr>
        <w:ind w:firstLine="432"/>
      </w:pPr>
      <w:r>
        <w:rPr>
          <w:rFonts w:ascii="Times New Roman" w:hAnsi="Times New Roman"/>
          <w:i w:val="0"/>
          <w:sz w:val="24"/>
        </w:rPr>
        <w:t>After correction of the population-frequency construction, both Neanderthal and Denisovan profile similarities retained negative geographic associations. The result is therefore not an artifact of allowing fragmented segments to contribute repeatedly to the same haplotype-window. The revised estimates are used throughout the manuscript and submission materials.</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Nevertheless, an inferred segment in a 500-kb interval is not an ABO allele, closest-reference similarity is not a transmission path, and the O2-defining variant cannot be labeled Neanderthal-derived from proximity alone. The Pima and Maya observations are individual segment records, not population prevalence estimates.</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In conclusion, population-level archaic-segment profiles show a broad geographic distance-decay pattern under dependence-aware permutation tests, but the same analysis provides no support for an exceptional population pair, an ABO-mediated migration history, or a specific route through Beringia or island Southeast Asia. The contribution is therefore less a new signal than a reproducible, dependence-aware baseline: by combining frequency-constrained profile construction, population-label QAP inference, and explicit false-discovery-rate control, it offers a reusable negative control against which focal-locus and special-connection archaic claims can be judged.</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r>
        <w:t>Funding: This research received no specific grant from any funding agency in the public, commercial, or not-for-profit sectors.</w:t>
      </w:r>
    </w:p>
    <w:p>
      <w:pPr>
        <w:pStyle w:val="Heading1"/>
      </w:pPr>
      <w:r>
        <w:t>Data Availability</w:t>
      </w:r>
    </w:p>
    <w:p>
      <w:r>
        <w:t>Analysis scripts, aggregate derived data, figures, and document-generation code are available at https://github.com/bougtoir/denisovan-archaic-dna-analysis and will be fixed as release ahg-submission-2026-07 before submission. 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Raw-file SHA-256 checksums and all analysis parameters are included in analysis_provenance.json and ancient_abo_provenance.json.</w:t>
      </w:r>
    </w:p>
    <w:p>
      <w:pPr>
        <w:pStyle w:val="Heading1"/>
      </w:pPr>
      <w:r>
        <w:t>Conflict of Interest Statement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generalized to communities, and are not used to assign migration routes. The public article, code, and aggregate derived results are the current means of results availability.</w:t>
      </w:r>
    </w:p>
    <w:p>
      <w:pPr>
        <w:pStyle w:val="Heading1"/>
      </w:pPr>
      <w:r>
        <w:t>Author Contributions</w:t>
      </w:r>
    </w:p>
    <w:p>
      <w:r>
        <w:t>Onishi Tatsuki: Conceptualization, methodology, formal analysis, visualization, writing—original draft, and writing—review and editing.</w:t>
      </w:r>
    </w:p>
    <w:p>
      <w:pPr>
        <w:pStyle w:val="Heading1"/>
      </w:pPr>
      <w:r>
        <w:t>References</w:t>
      </w:r>
    </w:p>
    <w:p>
      <w:pPr>
        <w:spacing w:line="276" w:lineRule="auto" w:after="80"/>
        <w:ind w:hanging="360" w:left="360"/>
      </w:pPr>
      <w:r>
        <w:rPr>
          <w:sz w:val="20"/>
        </w:rPr>
        <w:t>1000 Genomes Project Consortium. 2015. “A Global Reference for Human Genetic Variation.” Nature 526 (7571): 68–74. https://doi.org/10.1038/nature15393.</w:t>
      </w:r>
    </w:p>
    <w:p>
      <w:pPr>
        <w:spacing w:line="276" w:lineRule="auto" w:after="80"/>
        <w:ind w:hanging="360" w:left="360"/>
      </w:pPr>
      <w:r>
        <w:rPr>
          <w:sz w:val="20"/>
        </w:rPr>
        <w:t>Benjamini, Yoav, and Yosef Hochberg. 1995. “Controlling the False Discovery Rate: A Practical and Powerful Approach to Multiple Testing.” Journal of the Royal Statistical Society: Series B 57 (1): 289–300. https://doi.org/10.1111/j.2517-6161.1995.tb02031.x.</w:t>
      </w:r>
    </w:p>
    <w:p>
      <w:pPr>
        <w:spacing w:line="276" w:lineRule="auto" w:after="80"/>
        <w:ind w:hanging="360" w:left="360"/>
      </w:pPr>
      <w:r>
        <w:rPr>
          <w:sz w:val="20"/>
        </w:rPr>
        <w:t>Bergström, Anders, Shane A. McCarthy, Ruoyun Hui, et al. 2020. “Insights into Human Genetic Variation and Population History from 929 Diverse Genomes.” Science 367 (6484): eaay5012. https://doi.org/10.1126/science.aay5012.</w:t>
      </w:r>
    </w:p>
    <w:p>
      <w:pPr>
        <w:spacing w:line="276" w:lineRule="auto" w:after="80"/>
        <w:ind w:hanging="360" w:left="360"/>
      </w:pPr>
      <w:r>
        <w:rPr>
          <w:sz w:val="20"/>
        </w:rPr>
        <w:t>Calafell, Francesc, Françoise Roubinet, Antonio Ramirez-Soriano, et al. 2008. “Evolutionary Dynamics of the Human ABO Gene.” Human Genetics 124 (2): 123–35. https://doi.org/10.1007/s00439-008-0530-8.</w:t>
      </w:r>
    </w:p>
    <w:p>
      <w:pPr>
        <w:spacing w:line="276" w:lineRule="auto" w:after="80"/>
        <w:ind w:hanging="360" w:left="360"/>
      </w:pPr>
      <w:r>
        <w:rPr>
          <w:sz w:val="20"/>
        </w:rPr>
        <w:t>Carroll, Stephanie Russo, Ibrahim Garba, Oscar L. Figueroa-Rodríguez, et al. 2020. “The CARE Principles for Indigenous Data Governance.” Data Science Journal 19: 43. https://doi.org/10.5334/dsj-2020-043.</w:t>
      </w:r>
    </w:p>
    <w:p>
      <w:pPr>
        <w:spacing w:line="276" w:lineRule="auto" w:after="80"/>
        <w:ind w:hanging="360" w:left="360"/>
      </w:pPr>
      <w:r>
        <w:rPr>
          <w:sz w:val="20"/>
        </w:rPr>
        <w:t>Claw, Katrina G., Dorothy Lippert, Jessica Bardill, et al. 2018. “A Framework for Enhancing Ethical Genomic Research with Indigenous Communities.” Nature Communications 9: 2957. https://doi.org/10.1038/s41467-018-05188-3.</w:t>
      </w:r>
    </w:p>
    <w:p>
      <w:pPr>
        <w:spacing w:line="276" w:lineRule="auto" w:after="80"/>
        <w:ind w:hanging="360" w:left="360"/>
      </w:pPr>
      <w:r>
        <w:rPr>
          <w:sz w:val="20"/>
        </w:rPr>
        <w:t>Condemi, Silvana, Amandine Mazières, Pascal Faux, et al. 2021. “Blood Groups of Neandertals and Denisova Decrypted.” PLOS ONE 16 (7): e0254175. https://doi.org/10.1371/journal.pone.0254175.</w:t>
      </w:r>
    </w:p>
    <w:p>
      <w:pPr>
        <w:spacing w:line="276" w:lineRule="auto" w:after="80"/>
        <w:ind w:hanging="360" w:left="360"/>
      </w:pPr>
      <w:r>
        <w:rPr>
          <w:sz w:val="20"/>
        </w:rPr>
        <w:t>Dekker, David, David Krackhardt, and Tom A. B. Snijders. 2007. “Sensitivity of MRQAP Tests to Collinearity and Autocorrelation Conditions.” Psychometrika 72: 563–81. https://doi.org/10.1007/s11336-007-9016-1.</w:t>
      </w:r>
    </w:p>
    <w:p>
      <w:pPr>
        <w:spacing w:line="276" w:lineRule="auto" w:after="80"/>
        <w:ind w:hanging="360" w:left="360"/>
      </w:pPr>
      <w:r>
        <w:rPr>
          <w:sz w:val="20"/>
        </w:rPr>
        <w:t>Green, Richard E., Johannes Krause, Adrian W. Briggs, et al. 2010. “A Draft Sequence of the Neandertal Genome.” Science 328 (5979): 710–22. https://doi.org/10.1126/science.1188021.</w:t>
      </w:r>
    </w:p>
    <w:p>
      <w:pPr>
        <w:spacing w:line="276" w:lineRule="auto" w:after="80"/>
        <w:ind w:hanging="360" w:left="360"/>
      </w:pPr>
      <w:r>
        <w:rPr>
          <w:sz w:val="20"/>
        </w:rPr>
        <w:t>Halverson, Melissa S., and Deborah A. Bolnick. 2008. “An Ancient DNA Test of a Founder Effect in Native American ABO Blood Group Frequencies.” American Journal of Physical Anthropology 137 (3): 342–47. https://doi.org/10.1002/ajpa.20887.</w:t>
      </w:r>
    </w:p>
    <w:p>
      <w:pPr>
        <w:spacing w:line="276" w:lineRule="auto" w:after="80"/>
        <w:ind w:hanging="360" w:left="360"/>
      </w:pPr>
      <w:r>
        <w:rPr>
          <w:sz w:val="20"/>
        </w:rPr>
        <w:t>Iasi, Leonardo N. M., Manjusha Chintalapati, Laurits Skov, et al. 2024. “Neanderthal Ancestry through Time: Insights from Genomes of Ancient and Present-Day Humans.” Science 386 (6727): eadq3010. https://doi.org/10.1126/science.adq3010.</w:t>
      </w:r>
    </w:p>
    <w:p>
      <w:pPr>
        <w:spacing w:line="276" w:lineRule="auto" w:after="80"/>
        <w:ind w:hanging="360" w:left="360"/>
      </w:pPr>
      <w:r>
        <w:rPr>
          <w:sz w:val="20"/>
        </w:rPr>
        <w:t>Jacobs, Guy S., Georgi Hudjashov, Lauri Saag, et al. 2019. “Multiple Deeply Divergent Denisovan Ancestries in Papuans.” Cell 177 (4): 1010–21.e32. https://doi.org/10.1016/j.cell.2019.02.035.</w:t>
      </w:r>
    </w:p>
    <w:p>
      <w:pPr>
        <w:spacing w:line="276" w:lineRule="auto" w:after="80"/>
        <w:ind w:hanging="360" w:left="360"/>
      </w:pPr>
      <w:r>
        <w:rPr>
          <w:sz w:val="20"/>
        </w:rPr>
        <w:t>Krackhardt, David. 1988. “Predicting with Networks: Nonparametric Multiple Regression Analysis of Dyadic Data.” Social Networks 10 (4): 359–81. https://doi.org/10.1016/0378-8733(88)90004-4.</w:t>
      </w:r>
    </w:p>
    <w:p>
      <w:pPr>
        <w:spacing w:line="276" w:lineRule="auto" w:after="80"/>
        <w:ind w:hanging="360" w:left="360"/>
      </w:pPr>
      <w:r>
        <w:rPr>
          <w:sz w:val="20"/>
        </w:rPr>
        <w:t>Ohashi, Jun, Izumi Naka, Ryosuke Kimura, et al. 2006. “Polymorphisms in the ABO Blood Group Gene in Three Populations in the New Georgia Group of the Solomon Islands.” Journal of Human Genetics 51 (5): 407–11. https://doi.org/10.1007/s10038-006-0375-8.</w:t>
      </w:r>
    </w:p>
    <w:p>
      <w:pPr>
        <w:spacing w:line="276" w:lineRule="auto" w:after="80"/>
        <w:ind w:hanging="360" w:left="360"/>
      </w:pPr>
      <w:r>
        <w:rPr>
          <w:sz w:val="20"/>
        </w:rPr>
        <w:t>Petr, Martin, Svante Pääbo, Janet Kelso, and Benjamin Vernot. 2019. “Limits of Long-Term Selection against Neandertal Introgression.” Proceedings of the National Academy of Sciences 116 (5): 1639–44. https://doi.org/10.1073/pnas.1814338116.</w:t>
      </w:r>
    </w:p>
    <w:p>
      <w:pPr>
        <w:spacing w:line="276" w:lineRule="auto" w:after="80"/>
        <w:ind w:hanging="360" w:left="360"/>
      </w:pPr>
      <w:r>
        <w:rPr>
          <w:sz w:val="20"/>
        </w:rPr>
        <w:t>Prüfer, Kay, Cesare de Filippo, Steffi Grote, et al. 2017. “A High-Coverage Neandertal Genome from Vindija Cave in Croatia.” Science 358 (6363): 655–58. https://doi.org/10.1126/science.aao1887.</w:t>
      </w:r>
    </w:p>
    <w:p>
      <w:pPr>
        <w:spacing w:line="276" w:lineRule="auto" w:after="80"/>
        <w:ind w:hanging="360" w:left="360"/>
      </w:pPr>
      <w:r>
        <w:rPr>
          <w:sz w:val="20"/>
        </w:rPr>
        <w:t>Quilodran, Claudio S., Julie Rio, Athanasios Tsoupas, and Mathias Currat. 2023. “Past Human Expansions Shaped the Spatial Pattern of Neanderthal Ancestry.” Science Advances 9 (42): eadg9817. https://doi.org/10.1126/sciadv.adg9817.</w:t>
      </w:r>
    </w:p>
    <w:p>
      <w:pPr>
        <w:spacing w:line="276" w:lineRule="auto" w:after="80"/>
        <w:ind w:hanging="360" w:left="360"/>
      </w:pPr>
      <w:r>
        <w:rPr>
          <w:sz w:val="20"/>
        </w:rPr>
        <w:t>Raghavan, Maanasa, Pontus Skoglund, Kelly E. Graf, et al. 2014. “Upper Palaeolithic Siberian Genome Reveals Dual Ancestry of Native Americans.” Nature 505 (7481): 87–91. https://doi.org/10.1038/nature12736.</w:t>
      </w:r>
    </w:p>
    <w:p>
      <w:pPr>
        <w:spacing w:line="276" w:lineRule="auto" w:after="80"/>
        <w:ind w:hanging="360" w:left="360"/>
      </w:pPr>
      <w:r>
        <w:rPr>
          <w:sz w:val="20"/>
        </w:rPr>
        <w:t>Reich, David, Richard E. Green, Martin Kircher, et al. 2010. “Genetic History of an Archaic Hominin Group from Denisova Cave in Siberia.” Nature 468 (7327): 1053–60. https://doi.org/10.1038/nature09710.</w:t>
      </w:r>
    </w:p>
    <w:p>
      <w:pPr>
        <w:spacing w:line="276" w:lineRule="auto" w:after="80"/>
        <w:ind w:hanging="360" w:left="360"/>
      </w:pPr>
      <w:r>
        <w:rPr>
          <w:sz w:val="20"/>
        </w:rPr>
        <w:t>Sankararaman, Sriram, Swapan Mallick, Michael Dannemann, et al. 2014. “The Genomic Landscape of Neanderthal Ancestry in Present-Day Humans.” Nature 507 (7492): 354–57. https://doi.org/10.1038/nature12961.</w:t>
      </w:r>
    </w:p>
    <w:p>
      <w:pPr>
        <w:spacing w:line="276" w:lineRule="auto" w:after="80"/>
        <w:ind w:hanging="360" w:left="360"/>
      </w:pPr>
      <w:r>
        <w:rPr>
          <w:sz w:val="20"/>
        </w:rPr>
        <w:t>Sankararaman, Sriram, Swapan Mallick, Nick Patterson, and David Reich. 2016. “The Combined Landscape of Denisovan and Neanderthal Ancestry in Present-Day Humans.” Current Biology 26 (9): 1241–47. https://doi.org/10.1016/j.cub.2016.03.037.</w:t>
      </w:r>
    </w:p>
    <w:p>
      <w:pPr>
        <w:spacing w:line="276" w:lineRule="auto" w:after="80"/>
        <w:ind w:hanging="360" w:left="360"/>
      </w:pPr>
      <w:r>
        <w:rPr>
          <w:sz w:val="20"/>
        </w:rPr>
        <w:t>Segurel, Laure, Emma E. Thompson, Timothée Flutre, et al. 2012. “The ABO Blood Group Is a Trans-Species Polymorphism in Primates.” Proceedings of the National Academy of Sciences 109 (45): 18493–98. https://doi.org/10.1073/pnas.1210603109.</w:t>
      </w:r>
    </w:p>
    <w:p>
      <w:pPr>
        <w:spacing w:line="276" w:lineRule="auto" w:after="80"/>
        <w:ind w:hanging="360" w:left="360"/>
      </w:pPr>
      <w:r>
        <w:rPr>
          <w:sz w:val="20"/>
        </w:rPr>
        <w:t>Skoglund, Pontus, Swapan Mallick, Maria Cátira Bortolini, et al. 2015. “Genetic Evidence for Two Founding Populations of the Americas.” Nature 525 (7567): 104–8. https://doi.org/10.1038/nature14895.</w:t>
      </w:r>
    </w:p>
    <w:p>
      <w:pPr>
        <w:spacing w:line="276" w:lineRule="auto" w:after="80"/>
        <w:ind w:hanging="360" w:left="360"/>
      </w:pPr>
      <w:r>
        <w:rPr>
          <w:sz w:val="20"/>
        </w:rPr>
        <w:t>Skov, Laurits, Ruoyun Hui, Vladimir Shchur, et al. 2018. “Detecting Archaic Introgression Using an Unadmixed Outgroup.” PLOS Genetics 14 (9): e1007641. https://doi.org/10.1371/journal.pgen.1007641.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not special connections: a dependence-aware baseline for archaic-segment sharing across 66 human populations</dc:title>
  <dc:subject/>
  <dc:creator>Onishi Tatsuki</dc:creator>
  <cp:keywords/>
  <dc:description>generated by python-docx</dc:description>
  <cp:lastModifiedBy/>
  <cp:revision>1</cp:revision>
  <dcterms:created xsi:type="dcterms:W3CDTF">2013-12-23T23:15:00Z</dcterms:created>
  <dcterms:modified xsi:type="dcterms:W3CDTF">2013-12-23T23:15:00Z</dcterms:modified>
  <cp:category/>
</cp:coreProperties>
</file>