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Lifecycle Data Exposure in Shared Micromobility: A Scoping Review and a Global Audit of Public GBFS Vehicle Feeds and Operator Disclosures</w:t>
      </w:r>
    </w:p>
    <w:p/>
    <w:p>
      <w:pPr>
        <w:jc w:val="center"/>
      </w:pPr>
      <w:r>
        <w:rPr>
          <w:b/>
        </w:rPr>
        <w:t>Onishi Tatsuki</w:t>
      </w:r>
    </w:p>
    <w:p>
      <w:pPr>
        <w:jc w:val="center"/>
      </w:pPr>
      <w:r>
        <w:rPr>
          <w:b w:val="0"/>
        </w:rPr>
        <w:t>Data Science and AI Innovation Research Promotion Center, Shiga University, Hikone, Japan</w:t>
      </w:r>
    </w:p>
    <w:p>
      <w:pPr>
        <w:jc w:val="center"/>
      </w:pPr>
      <w:r>
        <w:rPr>
          <w:b w:val="0"/>
        </w:rPr>
        <w:t>Corresponding author: Onishi Tatsuki; bougtoir@gmail.com</w:t>
      </w:r>
    </w:p>
    <w:p>
      <w:pPr>
        <w:jc w:val="center"/>
      </w:pPr>
      <w:r>
        <w:rPr>
          <w:b w:val="0"/>
        </w:rPr>
        <w:t>ORCID: 0000-0001-7261-9062</w:t>
      </w:r>
    </w:p>
    <w:p/>
    <w:p>
      <w:r>
        <w:rPr>
          <w:b/>
        </w:rPr>
        <w:t xml:space="preserve">Full title: </w:t>
      </w:r>
      <w:r>
        <w:t>Lifecycle Data Exposure in Shared Micromobility: A Scoping Review and a Global Audit of Public GBFS Vehicle Feeds and Operator Disclosures</w:t>
      </w:r>
    </w:p>
    <w:p>
      <w:r>
        <w:rPr>
          <w:b/>
        </w:rPr>
        <w:t xml:space="preserve">Short title: </w:t>
      </w:r>
      <w:r>
        <w:t>Lifecycle data exposure in shared micromobility</w:t>
      </w:r>
    </w:p>
    <w:p>
      <w:r>
        <w:rPr>
          <w:b/>
        </w:rPr>
        <w:t xml:space="preserve">Article type: </w:t>
      </w:r>
      <w:r>
        <w:t>Full Article</w:t>
      </w:r>
    </w:p>
    <w:p>
      <w:r>
        <w:rPr>
          <w:b/>
        </w:rPr>
        <w:t xml:space="preserve">Journal: </w:t>
      </w:r>
      <w:r>
        <w:t>Transport Policy (Elsevier)</w:t>
      </w:r>
    </w:p>
    <w:p>
      <w:r>
        <w:rPr>
          <w:b/>
        </w:rPr>
        <w:t xml:space="preserve">Peer review: </w:t>
      </w:r>
      <w:r>
        <w:t>Double-anonymized; the manuscript file is anonymized</w:t>
      </w:r>
    </w:p>
    <w:p>
      <w:r>
        <w:rPr>
          <w:b/>
        </w:rPr>
        <w:t xml:space="preserve">Abstract word count: </w:t>
      </w:r>
      <w:r>
        <w:t>200</w:t>
      </w:r>
    </w:p>
    <w:p>
      <w:r>
        <w:rPr>
          <w:b/>
        </w:rPr>
        <w:t xml:space="preserve">Highlights: </w:t>
      </w:r>
      <w:r>
        <w:t>5 bullets</w:t>
      </w:r>
    </w:p>
    <w:p>
      <w:r>
        <w:rPr>
          <w:b/>
        </w:rPr>
        <w:t xml:space="preserve">Main-text word count (excludes title, abstract, references): </w:t>
      </w:r>
      <w:r>
        <w:t>2526</w:t>
      </w:r>
    </w:p>
    <w:p>
      <w:r>
        <w:rPr>
          <w:b/>
        </w:rPr>
        <w:t xml:space="preserve">Figures: </w:t>
      </w:r>
      <w:r>
        <w:t>5</w:t>
      </w:r>
    </w:p>
    <w:p>
      <w:r>
        <w:rPr>
          <w:b/>
        </w:rPr>
        <w:t xml:space="preserve">Tables: </w:t>
      </w:r>
      <w:r>
        <w:t>5</w:t>
      </w:r>
    </w:p>
    <w:p>
      <w:r>
        <w:rPr>
          <w:b/>
        </w:rPr>
        <w:t xml:space="preserve">References: </w:t>
      </w:r>
      <w:r>
        <w:t>30</w:t>
      </w:r>
    </w:p>
    <w:p>
      <w:r>
        <w:rPr>
          <w:b/>
        </w:rPr>
        <w:t xml:space="preserve">Funding: </w:t>
      </w:r>
      <w:r>
        <w:t>None</w:t>
      </w:r>
    </w:p>
    <w:p>
      <w:r>
        <w:rPr>
          <w:b/>
        </w:rPr>
        <w:t xml:space="preserve">Competing interests: </w:t>
      </w:r>
      <w:r>
        <w:t>None declared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