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Supporting Information</w:t>
      </w:r>
    </w:p>
    <w:p>
      <w:pPr>
        <w:jc w:val="center"/>
      </w:pPr>
      <w:r>
        <w:t>Population structure, not special connections: a dependence-aware baseline for archaic-segment sharing across 66 human populations</w:t>
      </w:r>
    </w:p>
    <w:p>
      <w:pPr>
        <w:spacing w:before="320"/>
      </w:pPr>
      <w:r>
        <w:rPr>
          <w:b/>
        </w:rPr>
        <w:t>Figure S1. Complete 66-population Neanderthal and Denisovan profile-similarity matrices.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26957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1_full_heat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95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320"/>
      </w:pPr>
      <w:r>
        <w:rPr>
          <w:b/>
        </w:rPr>
        <w:t>Figure S2. Exploratory ABO-centered analysis preserving the historical grouped-bar and segment-map layout. Equal maximum-similarity ties are excluded from the displayed three-reference proportions and retained in Supplementary Data. The Pima segment overlaps ABO; the Maya segment is within the wider interval but does not overlap the gene. Counts are segments, not regional frequencies, and are not interpreted as a migration route.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23323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abo_subline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332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320"/>
      </w:pPr>
      <w:r>
        <w:rPr>
          <w:b/>
        </w:rPr>
        <w:t>Figure S3. O2 blood-group subtype-defining allele frequencies and ABO-window segment-carrier frequencies. The panels use different sources and are not an association analysis; proximity does not establish that the O2 allele is Neanderthal-derived.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25376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o2_introgress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37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320"/>
      </w:pPr>
      <w:r>
        <w:rPr>
          <w:b/>
        </w:rPr>
        <w:t>Figure S4. Descriptive ancient and modern ABO-window summaries generated by different pipelines; no formal temporal comparison is made.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293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temporal_dynamic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320"/>
      </w:pPr>
      <w:r>
        <w:rPr>
          <w:b/>
        </w:rPr>
        <w:t>Figure S5. Bivariate global context computed in this study. Circle area encodes the mean per-bin Neanderthal-segment coverage and colour encodes the mean per-bin Denisovan-segment coverage for each population, both from data/population_profiles_500kb.npz; coordinates are approximate sampling locations from data/population_metadata.csv. These descriptive summaries were not used in the pairwise statistical models.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292272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bivariate_world_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22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80"/>
      </w:pPr>
      <w:r>
        <w:rPr>
          <w:b/>
        </w:rPr>
        <w:t>Table S1. Exploratory ABO-window Neanderthal-reference composition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Region</w:t>
            </w:r>
          </w:p>
        </w:tc>
        <w:tc>
          <w:tcPr>
            <w:tcW w:type="dxa" w:w="1872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n</w:t>
            </w:r>
          </w:p>
        </w:tc>
        <w:tc>
          <w:tcPr>
            <w:tcW w:type="dxa" w:w="1872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Altai %</w:t>
            </w:r>
          </w:p>
        </w:tc>
        <w:tc>
          <w:tcPr>
            <w:tcW w:type="dxa" w:w="1872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Vindija %</w:t>
            </w:r>
          </w:p>
        </w:tc>
        <w:tc>
          <w:tcPr>
            <w:tcW w:type="dxa" w:w="1872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Chagyrskaya %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East Asia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57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54.4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1.8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43.9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Europe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275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7.3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46.5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46.2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Indigenous Americas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2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0.0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100.0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0.0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Admixed Americas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98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3.1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61.2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35.7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Central/South Asia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98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9.2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44.9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45.9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Middle East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44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11.4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52.3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36.4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Oceania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13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0.0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0.0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100.0</w:t>
            </w:r>
          </w:p>
        </w:tc>
      </w:tr>
    </w:tbl>
    <w:p>
      <w:pPr>
        <w:spacing w:line="240" w:lineRule="auto"/>
      </w:pPr>
      <w:r>
        <w:rPr>
          <w:sz w:val="18"/>
        </w:rPr>
        <w:t>Note. Counts are classifiable segments, not individuals. Percentages use the three-reference denominator shown by n. Equal maximum-similarity ties are excluded from these percentages but retained in Supplementary Data. The 2/2 Indigenous American value is not a regional frequency estimate; only one segment overlaps ABO, and these counts are not interpreted as a migration route.</w:t>
      </w:r>
    </w:p>
    <w:p>
      <w:r>
        <w:br w:type="page"/>
      </w:r>
    </w:p>
    <w:p>
      <w:pPr>
        <w:pStyle w:val="Heading1"/>
      </w:pPr>
      <w:r>
        <w:t>Supplementary Data Files</w:t>
      </w:r>
    </w:p>
    <w:p>
      <w:r>
        <w:t>Supplementary Data 1: population_metadata.csv. Population, project, sample size, coordinates, continent assignment, and analysis inclusion.</w:t>
      </w:r>
    </w:p>
    <w:p>
      <w:r>
        <w:t>Supplementary Data 2: pairwise_sharing_corrected.csv. Complete pairwise similarity, geographic, covariate, residual, permutation, and false discovery rate results.</w:t>
      </w:r>
    </w:p>
    <w:p>
      <w:r>
        <w:t>Supplementary Data 3: model_summary.csv. Quadratic assignment procedure coefficients, permutation P values, descriptive R-squared values, and population-deletion intervals.</w:t>
      </w:r>
    </w:p>
    <w:p>
      <w:r>
        <w:t>Supplementary Data 4: sensitivity_analysis.csv and window_size_sensitivity.csv. Metric, population-subset, and window-size robustness summaries.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