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Hotter-than-normal days carry an acute excess of US crash deaths.</w:t>
      </w:r>
    </w:p>
    <w:p>
      <w:pPr>
        <w:pStyle w:val="ListBullet"/>
      </w:pPr>
      <w:r>
        <w:t>The excess concentrates in open-air road users, not vehicle occupants.</w:t>
      </w:r>
    </w:p>
    <w:p>
      <w:pPr>
        <w:pStyle w:val="ListBullet"/>
      </w:pPr>
      <w:r>
        <w:t>Heat-attributable crash deaths rival recorded direct-heat deaths.</w:t>
      </w:r>
    </w:p>
    <w:p>
      <w:pPr>
        <w:pStyle w:val="ListBullet"/>
      </w:pPr>
      <w:r>
        <w:t>Warming projections imply more US crash deaths per year per degree.</w:t>
      </w:r>
    </w:p>
    <w:p>
      <w:pPr>
        <w:pStyle w:val="ListBullet"/>
      </w:pPr>
      <w:r>
        <w:t>Heat-aware road safety and shared-mobility adaptation are warranted.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