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32"/>
        </w:rPr>
        <w:t>Harnessing flood energy to create subsurface storage:</w:t>
      </w:r>
    </w:p>
    <w:p>
      <w:pPr>
        <w:jc w:val="left"/>
      </w:pPr>
      <w:r>
        <w:rPr>
          <w:rFonts w:ascii="Times New Roman" w:hAnsi="Times New Roman"/>
          <w:b/>
          <w:sz w:val="32"/>
        </w:rPr>
        <w:t>A hydropower-groundwater framework for integrated flood control</w:t>
      </w:r>
    </w:p>
    <w:p>
      <w:pPr>
        <w:spacing w:before="480"/>
      </w:pPr>
      <w:r>
        <w:rPr>
          <w:b/>
          <w:sz w:val="24"/>
        </w:rPr>
        <w:t>[Author Names]</w:t>
      </w:r>
    </w:p>
    <w:p>
      <w:r>
        <w:rPr>
          <w:i/>
          <w:sz w:val="22"/>
        </w:rPr>
        <w:t>[Affiliations]</w:t>
      </w:r>
    </w:p>
    <w:p>
      <w:pPr>
        <w:spacing w:before="240"/>
      </w:pPr>
      <w:r>
        <w:rPr>
          <w:sz w:val="22"/>
        </w:rPr>
        <w:t>Correspondence: [email]</w:t>
      </w:r>
    </w:p>
    <w:p>
      <w:pPr>
        <w:spacing w:before="360" w:after="120"/>
      </w:pPr>
      <w:r>
        <w:rPr>
          <w:rFonts w:ascii="Times New Roman" w:hAnsi="Times New Roman"/>
          <w:b/>
          <w:sz w:val="28"/>
        </w:rPr>
        <w:t>Abstract</w:t>
      </w:r>
    </w:p>
    <w:p>
      <w:pPr>
        <w:ind w:firstLine="0"/>
      </w:pPr>
      <w:r>
        <w:rPr>
          <w:rFonts w:ascii="Times New Roman" w:hAnsi="Times New Roman"/>
          <w:sz w:val="24"/>
        </w:rPr>
        <w:t>Conventional flood control relies on structural measures -- levees, dams, and floodways -- that expel excess water. We propose a paradigm shift: using the potential energy of planned dam releases to generate electricity that powers groundwater pumping in adjacent watersheds, proactively creating subsurface reception capacity before flood events. A feasibility analysis of the Oda-Takahashi River basin in Japan, site of catastrophic backwater flooding in 2018, demonstrates that hydropower from a 100 m head release (41.7 MW) can power groundwater pumping (3.7 MW, 9% of generation) to create aquifer storage absorbing 78% of observed flood volume. This framework exploits Japan's steep topography and established pumped-storage infrastructure, but its principles extend to transboundary river basins where unilateral flood mitigation within national borders is geopolitically valuable, and to arid regions where coupling flash-flood energy with aquifer recharge addresses both flood risk and water scarcity.</w:t>
      </w:r>
    </w:p>
    <w:p>
      <w:pPr>
        <w:spacing w:before="360" w:after="120"/>
      </w:pPr>
      <w:r>
        <w:rPr>
          <w:rFonts w:ascii="Times New Roman" w:hAnsi="Times New Roman"/>
          <w:b/>
          <w:sz w:val="28"/>
        </w:rPr>
        <w:t>The backwater problem</w:t>
      </w:r>
    </w:p>
    <w:p>
      <w:pPr>
        <w:ind w:firstLine="720"/>
      </w:pPr>
      <w:r>
        <w:rPr>
          <w:rFonts w:ascii="Times New Roman" w:hAnsi="Times New Roman"/>
          <w:sz w:val="24"/>
        </w:rPr>
        <w:t>When a mainstem river swells, it can block tributary discharge -- a phenomenon known as the backwater effect. This mechanism caused catastrophic flooding in Mabi, Okayama Prefecture, Japan, during the July 2018 Western Japan Heavy Rains: the Takahashi River's water level prevented the Oda River from draining, leading to levee breaches at five locations, inundating 8.28 km2 and claiming 51 lives</w:t>
      </w:r>
      <w:r>
        <w:rPr>
          <w:rFonts w:ascii="Times New Roman" w:hAnsi="Times New Roman"/>
          <w:sz w:val="20"/>
          <w:vertAlign w:val="superscript"/>
        </w:rPr>
        <w:t>1</w:t>
      </w:r>
      <w:r>
        <w:rPr>
          <w:rFonts w:ascii="Times New Roman" w:hAnsi="Times New Roman"/>
          <w:sz w:val="24"/>
        </w:rPr>
        <w:t>. Half a world away, the Yazoo River basin in Mississippi, USA, experienced 158 consecutive days above flood stage in 2019 as the Mississippi River's high water prevented tributary outflow</w:t>
      </w:r>
      <w:r>
        <w:rPr>
          <w:rFonts w:ascii="Times New Roman" w:hAnsi="Times New Roman"/>
          <w:sz w:val="20"/>
          <w:vertAlign w:val="superscript"/>
        </w:rPr>
        <w:t>2</w:t>
      </w:r>
      <w:r>
        <w:rPr>
          <w:rFonts w:ascii="Times New Roman" w:hAnsi="Times New Roman"/>
          <w:sz w:val="24"/>
        </w:rPr>
        <w:t>. These events share a common mechanism: the failure of one watershed to discharge into another.</w:t>
      </w:r>
    </w:p>
    <w:p>
      <w:pPr>
        <w:ind w:firstLine="720"/>
      </w:pPr>
      <w:r>
        <w:rPr>
          <w:rFonts w:ascii="Times New Roman" w:hAnsi="Times New Roman"/>
          <w:sz w:val="24"/>
        </w:rPr>
        <w:t>Current responses to backwater flooding are predominantly structural. Japan relocated the Oda-Takahashi confluence 4.6 km downstream (completed March 2024), achieving a 4.6 m water level reduction on the Oda River side</w:t>
      </w:r>
      <w:r>
        <w:rPr>
          <w:rFonts w:ascii="Times New Roman" w:hAnsi="Times New Roman"/>
          <w:sz w:val="20"/>
          <w:vertAlign w:val="superscript"/>
        </w:rPr>
        <w:t>3</w:t>
      </w:r>
      <w:r>
        <w:rPr>
          <w:rFonts w:ascii="Times New Roman" w:hAnsi="Times New Roman"/>
          <w:sz w:val="24"/>
        </w:rPr>
        <w:t>. The US has debated a pump station for the Yazoo Backwater area since 1941, stalled by environmental concerns</w:t>
      </w:r>
      <w:r>
        <w:rPr>
          <w:rFonts w:ascii="Times New Roman" w:hAnsi="Times New Roman"/>
          <w:sz w:val="20"/>
          <w:vertAlign w:val="superscript"/>
        </w:rPr>
        <w:t>2</w:t>
      </w:r>
      <w:r>
        <w:rPr>
          <w:rFonts w:ascii="Times New Roman" w:hAnsi="Times New Roman"/>
          <w:sz w:val="24"/>
        </w:rPr>
        <w:t>. Both approaches -- river engineering and mechanical pumping -- focus on moving water away. We propose an alternative: creating space to receive it.</w:t>
      </w:r>
    </w:p>
    <w:p>
      <w:pPr>
        <w:spacing w:before="360" w:after="120"/>
      </w:pPr>
      <w:r>
        <w:rPr>
          <w:rFonts w:ascii="Times New Roman" w:hAnsi="Times New Roman"/>
          <w:b/>
          <w:sz w:val="28"/>
        </w:rPr>
        <w:t>A new framework: flood energy for subsurface storage</w:t>
      </w:r>
    </w:p>
    <w:p>
      <w:pPr>
        <w:ind w:firstLine="720"/>
      </w:pPr>
      <w:r>
        <w:rPr>
          <w:rFonts w:ascii="Times New Roman" w:hAnsi="Times New Roman"/>
          <w:sz w:val="24"/>
        </w:rPr>
        <w:t>Our proposed framework operates in five phases. First, weather forecasts trigger planned dam releases days before a flood event. Second, the release generates hydropower using the elevation drop -- in Japan's steep rivers, effective heads of 50-200 m are common, yielding 5-170 MW at typical flow rates</w:t>
      </w:r>
      <w:r>
        <w:rPr>
          <w:rFonts w:ascii="Times New Roman" w:hAnsi="Times New Roman"/>
          <w:sz w:val="20"/>
          <w:vertAlign w:val="superscript"/>
        </w:rPr>
        <w:t>4</w:t>
      </w:r>
      <w:r>
        <w:rPr>
          <w:rFonts w:ascii="Times New Roman" w:hAnsi="Times New Roman"/>
          <w:sz w:val="24"/>
        </w:rPr>
        <w:t>. Third, this electricity powers groundwater pumping in adjacent watersheds, drawing down the water table to create void space in aquifers. Fourth, when heavy rainfall arrives, a portion infiltrates into the pre-emptied aquifer rather than becoming surface runoff, reducing flood peaks. Fifth, after the event, stored water serves irrigation or re-generation during dry seasons.</w:t>
      </w:r>
    </w:p>
    <w:p>
      <w:pPr>
        <w:ind w:firstLine="720"/>
      </w:pPr>
      <w:r>
        <w:rPr>
          <w:rFonts w:ascii="Times New Roman" w:hAnsi="Times New Roman"/>
          <w:sz w:val="24"/>
        </w:rPr>
        <w:t>The energy arithmetic is compelling. For a representative planned release (100 m head, 50 m3/s, 85% turbine efficiency), hydropower output is 41.7 MW. Groundwater pumping from 30 m depth at 10 m3/s with 80% pump efficiency requires only 3.7 MW -- roughly 9% of generation (Fig. 1). The remaining 91% is surplus electricity for the grid. Unlike pumped-storage hydropower, which cycles water between two reservoirs with 70-80% round-trip efficiency</w:t>
      </w:r>
      <w:r>
        <w:rPr>
          <w:rFonts w:ascii="Times New Roman" w:hAnsi="Times New Roman"/>
          <w:sz w:val="20"/>
          <w:vertAlign w:val="superscript"/>
        </w:rPr>
        <w:t>4</w:t>
      </w:r>
      <w:r>
        <w:rPr>
          <w:rFonts w:ascii="Times New Roman" w:hAnsi="Times New Roman"/>
          <w:sz w:val="24"/>
        </w:rPr>
        <w:t>, this framework converts flood energy into a flood-mitigation asset with minimal energy cost.</w:t>
      </w:r>
    </w:p>
    <w:p>
      <w:pPr>
        <w:spacing w:before="360" w:after="120"/>
      </w:pPr>
      <w:r>
        <w:rPr>
          <w:rFonts w:ascii="Times New Roman" w:hAnsi="Times New Roman"/>
          <w:b/>
          <w:sz w:val="28"/>
        </w:rPr>
        <w:t>Feasibility: the Oda-Takahashi case</w:t>
      </w:r>
    </w:p>
    <w:p>
      <w:pPr>
        <w:ind w:firstLine="720"/>
      </w:pPr>
      <w:r>
        <w:rPr>
          <w:rFonts w:ascii="Times New Roman" w:hAnsi="Times New Roman"/>
          <w:sz w:val="24"/>
        </w:rPr>
        <w:t>We tested this concept against the 2018 Mabi flooding. The Oda River basin (483 km2) received approximately 320 mm of rainfall over three days, generating an estimated 15.3 x 10^6 m3 of floodwater in the inundation zone</w:t>
      </w:r>
      <w:r>
        <w:rPr>
          <w:rFonts w:ascii="Times New Roman" w:hAnsi="Times New Roman"/>
          <w:sz w:val="20"/>
          <w:vertAlign w:val="superscript"/>
        </w:rPr>
        <w:t>1</w:t>
      </w:r>
      <w:r>
        <w:rPr>
          <w:rFonts w:ascii="Times New Roman" w:hAnsi="Times New Roman"/>
          <w:sz w:val="24"/>
        </w:rPr>
        <w:t>. The surrounding alluvial plain contains sand-gravel aquifers (estimated thickness 15 m, effective porosity 0.20). Pre-emptying 3 m of water table over a 20 km2 managed area would create 12.0 x 10^6 m3 of subsurface storage -- 78% of the observed flood volume (Fig. 2). At 5 m drawdown, storage exceeds the flood volume entirely.</w:t>
      </w:r>
    </w:p>
    <w:p>
      <w:pPr>
        <w:ind w:firstLine="720"/>
      </w:pPr>
      <w:r>
        <w:rPr>
          <w:rFonts w:ascii="Times New Roman" w:hAnsi="Times New Roman"/>
          <w:sz w:val="24"/>
        </w:rPr>
        <w:t>A simplified rainfall-runoff simulation comparing four scenarios (Fig. 3) reveals that groundwater management alone achieves modest peak reduction (2%), limited by infiltration rates. However, combined with the completed confluence relocation, the integrated approach reduces peak discharge by 32% and absorbs 41% of total runoff volume into the aquifer (Fig. 4). The groundwater component thus functions not as a replacement for structural measures but as a complementary safety layer.</w:t>
      </w:r>
    </w:p>
    <w:p>
      <w:pPr>
        <w:spacing w:before="360" w:after="120"/>
      </w:pPr>
      <w:r>
        <w:rPr>
          <w:rFonts w:ascii="Times New Roman" w:hAnsi="Times New Roman"/>
          <w:b/>
          <w:sz w:val="28"/>
        </w:rPr>
        <w:t>Why Japan -- and why beyond Japan</w:t>
      </w:r>
    </w:p>
    <w:p>
      <w:pPr>
        <w:ind w:firstLine="720"/>
      </w:pPr>
      <w:r>
        <w:rPr>
          <w:rFonts w:ascii="Times New Roman" w:hAnsi="Times New Roman"/>
          <w:sz w:val="24"/>
        </w:rPr>
        <w:t>Japan's geography uniquely suits this framework. Its rivers have gradients 5-20 times steeper than the Mississippi</w:t>
      </w:r>
      <w:r>
        <w:rPr>
          <w:rFonts w:ascii="Times New Roman" w:hAnsi="Times New Roman"/>
          <w:sz w:val="20"/>
          <w:vertAlign w:val="superscript"/>
        </w:rPr>
        <w:t>5</w:t>
      </w:r>
      <w:r>
        <w:rPr>
          <w:rFonts w:ascii="Times New Roman" w:hAnsi="Times New Roman"/>
          <w:sz w:val="24"/>
        </w:rPr>
        <w:t>, maximizing hydropower per unit flow. Adjacent watersheds are separated by only 5-30 km (versus hundreds of kilometres in continental basins), making inter-basin water management feasible at practical scales. Japan also operates the world's largest pumped-storage fleet, including the 2,820 MW Kannagawa facility</w:t>
      </w:r>
      <w:r>
        <w:rPr>
          <w:rFonts w:ascii="Times New Roman" w:hAnsi="Times New Roman"/>
          <w:sz w:val="20"/>
          <w:vertAlign w:val="superscript"/>
        </w:rPr>
        <w:t>4</w:t>
      </w:r>
      <w:r>
        <w:rPr>
          <w:rFonts w:ascii="Times New Roman" w:hAnsi="Times New Roman"/>
          <w:sz w:val="24"/>
        </w:rPr>
        <w:t>, providing both technical precedent and operational expertise directly transferable to the proposed framework.</w:t>
      </w:r>
    </w:p>
    <w:p>
      <w:pPr>
        <w:ind w:firstLine="720"/>
      </w:pPr>
      <w:r>
        <w:rPr>
          <w:rFonts w:ascii="Times New Roman" w:hAnsi="Times New Roman"/>
          <w:sz w:val="24"/>
        </w:rPr>
        <w:t>Yet the principles are not Japan-specific. Three international contexts merit attention. First, transboundary rivers: in basins like the Mekong, Nile, and Jordan, downstream nations face flood risk from upstream dam operations over which they have limited control</w:t>
      </w:r>
      <w:r>
        <w:rPr>
          <w:rFonts w:ascii="Times New Roman" w:hAnsi="Times New Roman"/>
          <w:sz w:val="20"/>
          <w:vertAlign w:val="superscript"/>
        </w:rPr>
        <w:t>6</w:t>
      </w:r>
      <w:r>
        <w:rPr>
          <w:rFonts w:ascii="Times New Roman" w:hAnsi="Times New Roman"/>
          <w:sz w:val="24"/>
        </w:rPr>
        <w:t>. A groundwater management approach allows flood mitigation using only domestic aquifers, circumventing the geopolitical constraints of water-sharing agreements. This represents a form of 'unilaterally implementable flood control' -- a concept with significant diplomatic value.</w:t>
      </w:r>
    </w:p>
    <w:p>
      <w:pPr>
        <w:ind w:firstLine="720"/>
      </w:pPr>
      <w:r>
        <w:rPr>
          <w:rFonts w:ascii="Times New Roman" w:hAnsi="Times New Roman"/>
          <w:sz w:val="24"/>
        </w:rPr>
        <w:t>Second, river deltas: the Mekong Delta, Nile Delta, and Ganges-Brahmaputra-Meghna Delta face compounding threats from upstream flooding and sea-level rise</w:t>
      </w:r>
      <w:r>
        <w:rPr>
          <w:rFonts w:ascii="Times New Roman" w:hAnsi="Times New Roman"/>
          <w:sz w:val="20"/>
          <w:vertAlign w:val="superscript"/>
        </w:rPr>
        <w:t>7</w:t>
      </w:r>
      <w:r>
        <w:rPr>
          <w:rFonts w:ascii="Times New Roman" w:hAnsi="Times New Roman"/>
          <w:sz w:val="24"/>
        </w:rPr>
        <w:t>. Pre-flood aquifer drawdown could address both by creating storage for upstream flood pulses while managing the freshwater-saltwater interface.</w:t>
      </w:r>
    </w:p>
    <w:p>
      <w:pPr>
        <w:ind w:firstLine="720"/>
      </w:pPr>
      <w:r>
        <w:rPr>
          <w:rFonts w:ascii="Times New Roman" w:hAnsi="Times New Roman"/>
          <w:sz w:val="24"/>
        </w:rPr>
        <w:t>Third, arid regions: in the Middle East and North Africa, flash floods in wadis (ephemeral streams) represent both a hazard and an untapped water resource. Countries with sovereign wealth (Saudi Arabia's NEOM project, UAE's food security programmes) could deploy this framework to capture flash-flood energy for aquifer recharge, simultaneously mitigating flood damage and augmenting scarce groundwater supplies. California's Flood-MAR programme</w:t>
      </w:r>
      <w:r>
        <w:rPr>
          <w:rFonts w:ascii="Times New Roman" w:hAnsi="Times New Roman"/>
          <w:sz w:val="20"/>
          <w:vertAlign w:val="superscript"/>
        </w:rPr>
        <w:t>8</w:t>
      </w:r>
      <w:r>
        <w:rPr>
          <w:rFonts w:ascii="Times New Roman" w:hAnsi="Times New Roman"/>
          <w:sz w:val="24"/>
        </w:rPr>
        <w:t xml:space="preserve"> already demonstrates the reverse direction (surface flood to aquifer), validating the hydrogeological feasibility.</w:t>
      </w:r>
    </w:p>
    <w:p>
      <w:pPr>
        <w:ind w:firstLine="720"/>
      </w:pPr>
      <w:r>
        <w:rPr>
          <w:rFonts w:ascii="Times New Roman" w:hAnsi="Times New Roman"/>
          <w:sz w:val="24"/>
        </w:rPr>
        <w:t>Where rivers form international borders, the framework offers additional value. The nation experiencing backwater flooding can manage its own alluvial aquifer without requiring upstream cooperation, diplomatic negotiation, or joint infrastructure investment -- a critical advantage in politically fragile basins.</w:t>
      </w:r>
    </w:p>
    <w:p>
      <w:pPr>
        <w:spacing w:before="360" w:after="120"/>
      </w:pPr>
      <w:r>
        <w:rPr>
          <w:rFonts w:ascii="Times New Roman" w:hAnsi="Times New Roman"/>
          <w:b/>
          <w:sz w:val="28"/>
        </w:rPr>
        <w:t>Challenges and next steps</w:t>
      </w:r>
    </w:p>
    <w:p>
      <w:pPr>
        <w:ind w:firstLine="720"/>
      </w:pPr>
      <w:r>
        <w:rPr>
          <w:rFonts w:ascii="Times New Roman" w:hAnsi="Times New Roman"/>
          <w:sz w:val="24"/>
        </w:rPr>
        <w:t>Several challenges require resolution. Land subsidence from excessive drawdown is a well-documented risk</w:t>
      </w:r>
      <w:r>
        <w:rPr>
          <w:rFonts w:ascii="Times New Roman" w:hAnsi="Times New Roman"/>
          <w:sz w:val="20"/>
          <w:vertAlign w:val="superscript"/>
        </w:rPr>
        <w:t>9</w:t>
      </w:r>
      <w:r>
        <w:rPr>
          <w:rFonts w:ascii="Times New Roman" w:hAnsi="Times New Roman"/>
          <w:sz w:val="24"/>
        </w:rPr>
        <w:t>; Japan's Kanto Plain experienced severe subsidence from industrial groundwater extraction in the mid-20th century, leading to strict regulations that any new framework must navigate. Infiltration rates during intense rainfall events may limit real-time peak reduction, necessitating engineered recharge facilities (infiltration basins, injection wells) rather than relying on natural percolation alone.</w:t>
      </w:r>
    </w:p>
    <w:p>
      <w:pPr>
        <w:ind w:firstLine="720"/>
      </w:pPr>
      <w:r>
        <w:rPr>
          <w:rFonts w:ascii="Times New Roman" w:hAnsi="Times New Roman"/>
          <w:sz w:val="24"/>
        </w:rPr>
        <w:t>Detailed validation using coupled surface-subsurface models (GSFLOW</w:t>
      </w:r>
      <w:r>
        <w:rPr>
          <w:rFonts w:ascii="Times New Roman" w:hAnsi="Times New Roman"/>
          <w:sz w:val="20"/>
          <w:vertAlign w:val="superscript"/>
        </w:rPr>
        <w:t>10</w:t>
      </w:r>
      <w:r>
        <w:rPr>
          <w:rFonts w:ascii="Times New Roman" w:hAnsi="Times New Roman"/>
          <w:sz w:val="24"/>
        </w:rPr>
        <w:t>, ParFlow</w:t>
      </w:r>
      <w:r>
        <w:rPr>
          <w:rFonts w:ascii="Times New Roman" w:hAnsi="Times New Roman"/>
          <w:sz w:val="20"/>
          <w:vertAlign w:val="superscript"/>
        </w:rPr>
        <w:t>11</w:t>
      </w:r>
      <w:r>
        <w:rPr>
          <w:rFonts w:ascii="Times New Roman" w:hAnsi="Times New Roman"/>
          <w:sz w:val="24"/>
        </w:rPr>
        <w:t>) is essential to replace the simplified analysis presented here. Pilot projects in basins with documented backwater flooding and accessible alluvial aquifers would test operational feasibility. Institutional frameworks for 'subsurface flood detention' -- the underground equivalent of surface retarding basins -- need development within Japan's 'Watershed-based Flood Management' policy</w:t>
      </w:r>
      <w:r>
        <w:rPr>
          <w:rFonts w:ascii="Times New Roman" w:hAnsi="Times New Roman"/>
          <w:sz w:val="20"/>
          <w:vertAlign w:val="superscript"/>
        </w:rPr>
        <w:t>12</w:t>
      </w:r>
      <w:r>
        <w:rPr>
          <w:rFonts w:ascii="Times New Roman" w:hAnsi="Times New Roman"/>
          <w:sz w:val="24"/>
        </w:rPr>
        <w:t xml:space="preserve"> and analogous frameworks internationally.</w:t>
      </w:r>
    </w:p>
    <w:p>
      <w:pPr>
        <w:ind w:firstLine="720"/>
      </w:pPr>
      <w:r>
        <w:rPr>
          <w:rFonts w:ascii="Times New Roman" w:hAnsi="Times New Roman"/>
          <w:sz w:val="24"/>
        </w:rPr>
        <w:t>The integration of flood control with renewable energy generation, groundwater management, and drought resilience represents a systems-level innovation. By viewing floods not merely as hazards to be repelled but as energy resources to be harvested and storage opportunities to be created, we open a new design space for adaptive water management in an era of climate uncertainty.</w:t>
      </w:r>
    </w:p>
    <w:p>
      <w:pPr>
        <w:spacing w:before="360" w:after="120"/>
      </w:pPr>
      <w:r>
        <w:rPr>
          <w:rFonts w:ascii="Times New Roman" w:hAnsi="Times New Roman"/>
          <w:b/>
          <w:sz w:val="24"/>
        </w:rPr>
        <w:t>Competing Interests</w:t>
      </w:r>
    </w:p>
    <w:p>
      <w:pPr>
        <w:ind w:firstLine="0"/>
      </w:pPr>
      <w:r>
        <w:rPr>
          <w:rFonts w:ascii="Times New Roman" w:hAnsi="Times New Roman"/>
          <w:sz w:val="24"/>
        </w:rPr>
        <w:t>The authors declare no competing interests. A related Japanese-language manuscript on the same conceptual framework, focusing on the Oda-Takahashi case study, has been submitted to the Journal of JSCE (Special Issue: Hydraulic Engineering).</w:t>
      </w:r>
    </w:p>
    <w:p>
      <w:pPr>
        <w:spacing w:before="360" w:after="120"/>
      </w:pPr>
      <w:r>
        <w:rPr>
          <w:rFonts w:ascii="Times New Roman" w:hAnsi="Times New Roman"/>
          <w:b/>
          <w:sz w:val="28"/>
        </w:rPr>
        <w:t>References</w:t>
      </w:r>
    </w:p>
    <w:p>
      <w:pPr>
        <w:ind w:firstLine="0" w:left="720"/>
      </w:pPr>
      <w:r>
        <w:rPr>
          <w:rFonts w:ascii="Times New Roman" w:hAnsi="Times New Roman"/>
          <w:sz w:val="22"/>
        </w:rPr>
        <w:t>1. National Research Institute for Earth Science and Disaster Resilience (NIED). Report on July 2018 Western Japan Heavy Rains. (2018).</w:t>
      </w:r>
    </w:p>
    <w:p>
      <w:pPr>
        <w:ind w:firstLine="0" w:left="720"/>
      </w:pPr>
      <w:r>
        <w:rPr>
          <w:rFonts w:ascii="Times New Roman" w:hAnsi="Times New Roman"/>
          <w:sz w:val="22"/>
        </w:rPr>
        <w:t>2. Mississippi State University Extension. Final Report: Survey of Overlooked Costs of the 2019 Backwater Flood in the Yazoo Mississippi Delta. (2020).</w:t>
      </w:r>
    </w:p>
    <w:p>
      <w:pPr>
        <w:ind w:firstLine="0" w:left="720"/>
      </w:pPr>
      <w:r>
        <w:rPr>
          <w:rFonts w:ascii="Times New Roman" w:hAnsi="Times New Roman"/>
          <w:sz w:val="22"/>
        </w:rPr>
        <w:t>3. KSB News. Oda River flood control project effectiveness confirmed during November 2024 heavy rain. 7 February (2025).</w:t>
      </w:r>
    </w:p>
    <w:p>
      <w:pPr>
        <w:ind w:firstLine="0" w:left="720"/>
      </w:pPr>
      <w:r>
        <w:rPr>
          <w:rFonts w:ascii="Times New Roman" w:hAnsi="Times New Roman"/>
          <w:sz w:val="22"/>
        </w:rPr>
        <w:t>4. IEA Hydropower Implementing Agreement. Case Study 11-02: Large Scale Pumped Storage Power Plants, Japan. (2006).</w:t>
      </w:r>
    </w:p>
    <w:p>
      <w:pPr>
        <w:ind w:firstLine="0" w:left="720"/>
      </w:pPr>
      <w:r>
        <w:rPr>
          <w:rFonts w:ascii="Times New Roman" w:hAnsi="Times New Roman"/>
          <w:sz w:val="22"/>
        </w:rPr>
        <w:t>5. Kinoshita, S. &amp; Tokunaga, Y. Water Resources Management in Japan. IWRA Proceedings (2003).</w:t>
      </w:r>
    </w:p>
    <w:p>
      <w:pPr>
        <w:ind w:firstLine="0" w:left="720"/>
      </w:pPr>
      <w:r>
        <w:rPr>
          <w:rFonts w:ascii="Times New Roman" w:hAnsi="Times New Roman"/>
          <w:sz w:val="22"/>
        </w:rPr>
        <w:t>6. Mekong River Commission. State of the Basin Report 2018. (Vientiane, 2019).</w:t>
      </w:r>
    </w:p>
    <w:p>
      <w:pPr>
        <w:ind w:firstLine="0" w:left="720"/>
      </w:pPr>
      <w:r>
        <w:rPr>
          <w:rFonts w:ascii="Times New Roman" w:hAnsi="Times New Roman"/>
          <w:sz w:val="22"/>
        </w:rPr>
        <w:t>7. Minderhoud, P. S. J. et al. Mekong delta much lower than previously assumed in sea-level rise impact assessments. Nat. Commun. 10, 3847 (2019).</w:t>
      </w:r>
    </w:p>
    <w:p>
      <w:pPr>
        <w:ind w:firstLine="0" w:left="720"/>
      </w:pPr>
      <w:r>
        <w:rPr>
          <w:rFonts w:ascii="Times New Roman" w:hAnsi="Times New Roman"/>
          <w:sz w:val="22"/>
        </w:rPr>
        <w:t>8. California Department of Water Resources. Flood-Managed Aquifer Recharge (Flood-MAR). https://water.ca.gov/Programs/All-Programs/Flood-MAR</w:t>
      </w:r>
    </w:p>
    <w:p>
      <w:pPr>
        <w:ind w:firstLine="0" w:left="720"/>
      </w:pPr>
      <w:r>
        <w:rPr>
          <w:rFonts w:ascii="Times New Roman" w:hAnsi="Times New Roman"/>
          <w:sz w:val="22"/>
        </w:rPr>
        <w:t>9. Chang, Y.-L. et al. Flood hazard mitigation in land subsidence prone coastal areas by optimal groundwater pumping. Water Resour. Manag. (2019).</w:t>
      </w:r>
    </w:p>
    <w:p>
      <w:pPr>
        <w:ind w:firstLine="0" w:left="720"/>
      </w:pPr>
      <w:r>
        <w:rPr>
          <w:rFonts w:ascii="Times New Roman" w:hAnsi="Times New Roman"/>
          <w:sz w:val="22"/>
        </w:rPr>
        <w:t>10. USGS. GSFLOW: Coupled Groundwater and Surface-Water Flow Model. https://water.usgs.gov/ogw/gsflow/</w:t>
      </w:r>
    </w:p>
    <w:p>
      <w:pPr>
        <w:ind w:firstLine="0" w:left="720"/>
      </w:pPr>
      <w:r>
        <w:rPr>
          <w:rFonts w:ascii="Times New Roman" w:hAnsi="Times New Roman"/>
          <w:sz w:val="22"/>
        </w:rPr>
        <w:t>11. Maxwell, R. M. et al. A high-resolution simulation of groundwater and surface water over most of the continental US with ParFlow v3. Geosci. Model Dev. 8, 923-937 (2015).</w:t>
      </w:r>
    </w:p>
    <w:p>
      <w:pPr>
        <w:ind w:firstLine="0" w:left="720"/>
      </w:pPr>
      <w:r>
        <w:rPr>
          <w:rFonts w:ascii="Times New Roman" w:hAnsi="Times New Roman"/>
          <w:sz w:val="22"/>
        </w:rPr>
        <w:t>12. Ministry of Land, Infrastructure, Transport and Tourism (MLIT). Watershed-based Flood Management Project. https://www.mlit.go.jp/river/kasen/ryuiki_pro/ (in Japanese).</w:t>
      </w:r>
    </w:p>
    <w:p>
      <w:pPr>
        <w:ind w:firstLine="0" w:left="720"/>
      </w:pPr>
      <w:r>
        <w:rPr>
          <w:rFonts w:ascii="Times New Roman" w:hAnsi="Times New Roman"/>
          <w:sz w:val="22"/>
        </w:rPr>
        <w:t>13. Maeno, S. Effect of relocation of confluence site of the Takahashi River and the Oda River. J. Hydraul. Eng. JSCE 51, 613-618 (2007).</w:t>
      </w:r>
    </w:p>
    <w:p>
      <w:pPr>
        <w:ind w:firstLine="0" w:left="720"/>
      </w:pPr>
      <w:r>
        <w:rPr>
          <w:rFonts w:ascii="Times New Roman" w:hAnsi="Times New Roman"/>
          <w:sz w:val="22"/>
        </w:rPr>
        <w:t>14. Berkowitz, J. F. et al. Forested wetland hydrology in a large Mississippi River tributary system. Wetlands (2019).</w:t>
      </w:r>
    </w:p>
    <w:p>
      <w:pPr>
        <w:ind w:firstLine="0" w:left="720"/>
      </w:pPr>
      <w:r>
        <w:rPr>
          <w:rFonts w:ascii="Times New Roman" w:hAnsi="Times New Roman"/>
          <w:sz w:val="22"/>
        </w:rPr>
        <w:t>15. Li, A. &amp; Tsai, F.T.-C. Understanding dynamics of groundwater flows in the Mississippi River Delta. J. Hydrol. 583, 124616 (2020).</w:t>
      </w:r>
    </w:p>
    <w:p>
      <w:pPr>
        <w:ind w:firstLine="0" w:left="720"/>
      </w:pPr>
      <w:r>
        <w:rPr>
          <w:rFonts w:ascii="Times New Roman" w:hAnsi="Times New Roman"/>
          <w:sz w:val="22"/>
        </w:rPr>
        <w:t>16. Nishizawa Katazakai, S. &amp; Zhang, J. Long-term flood control in central Japan. Groundw. Sustain. Dev. 33, 101585 (2026).</w:t>
      </w:r>
    </w:p>
    <w:p>
      <w:pPr>
        <w:ind w:firstLine="0" w:left="720"/>
      </w:pPr>
      <w:r>
        <w:rPr>
          <w:rFonts w:ascii="Times New Roman" w:hAnsi="Times New Roman"/>
          <w:sz w:val="22"/>
        </w:rPr>
        <w:t>17. Cosgrove, B. et al. NOAA's National Water Model. JAWRA 60, 247-272 (2024).</w:t>
      </w:r>
    </w:p>
    <w:p>
      <w:pPr>
        <w:ind w:firstLine="0" w:left="720"/>
      </w:pPr>
      <w:r>
        <w:rPr>
          <w:rFonts w:ascii="Times New Roman" w:hAnsi="Times New Roman"/>
          <w:sz w:val="22"/>
        </w:rPr>
        <w:t>18. Chang, J. et al. Flood resource utilization of cascade hydropower stations. EGU General Assembly 2025, EGU25-14374.</w:t>
      </w:r>
    </w:p>
    <w:p>
      <w:pPr>
        <w:ind w:firstLine="0" w:left="720"/>
      </w:pPr>
      <w:r>
        <w:rPr>
          <w:rFonts w:ascii="Times New Roman" w:hAnsi="Times New Roman"/>
          <w:sz w:val="22"/>
        </w:rPr>
        <w:t>19. Dillon, P. et al. Managed aquifer recharge: rediscovering nature as a leading edge technology. Water Sci. Technol. 62, 2338-2345 (2010).</w:t>
      </w:r>
    </w:p>
    <w:p>
      <w:pPr>
        <w:spacing w:before="360" w:after="120"/>
      </w:pPr>
      <w:r>
        <w:rPr>
          <w:rFonts w:ascii="Times New Roman" w:hAnsi="Times New Roman"/>
          <w:b/>
          <w:sz w:val="28"/>
        </w:rPr>
        <w:t>Figure Legends</w:t>
      </w:r>
    </w:p>
    <w:p>
      <w:pPr>
        <w:spacing w:before="120"/>
      </w:pPr>
      <w:r>
        <w:rPr>
          <w:rFonts w:ascii="Times New Roman" w:hAnsi="Times New Roman"/>
          <w:b/>
          <w:sz w:val="22"/>
        </w:rPr>
        <w:t xml:space="preserve">Fig. 1  </w:t>
      </w:r>
      <w:r>
        <w:rPr>
          <w:rFonts w:ascii="Times New Roman" w:hAnsi="Times New Roman"/>
          <w:sz w:val="22"/>
        </w:rPr>
        <w:t>Hydropower output from planned dam release as a function of effective head (H) and discharge (Q). Blue dashed line indicates the pumping power requirement (3.7 MW) for groundwater extraction at 30 m lift, 10 m3/s flow. The area above this line represents conditions where the system is energy-positive.</w:t>
      </w:r>
    </w:p>
    <w:p>
      <w:pPr>
        <w:spacing w:before="120"/>
      </w:pPr>
      <w:r>
        <w:rPr>
          <w:rFonts w:ascii="Times New Roman" w:hAnsi="Times New Roman"/>
          <w:b/>
          <w:sz w:val="22"/>
        </w:rPr>
        <w:t xml:space="preserve">Fig. 2  </w:t>
      </w:r>
      <w:r>
        <w:rPr>
          <w:rFonts w:ascii="Times New Roman" w:hAnsi="Times New Roman"/>
          <w:sz w:val="22"/>
        </w:rPr>
        <w:t>Aquifer storage capacity created by pre-flood groundwater drawdown over a 20 km2 managed area (effective porosity 0.20). Red dashed line: observed flood volume during the 2018 event (15.3 x 10^6 m3). Percentages indicate the fraction of 2018 flood volume that could be absorbed.</w:t>
      </w:r>
    </w:p>
    <w:p>
      <w:pPr>
        <w:spacing w:before="120"/>
      </w:pPr>
      <w:r>
        <w:rPr>
          <w:rFonts w:ascii="Times New Roman" w:hAnsi="Times New Roman"/>
          <w:b/>
          <w:sz w:val="22"/>
        </w:rPr>
        <w:t xml:space="preserve">Fig. 3  </w:t>
      </w:r>
      <w:r>
        <w:rPr>
          <w:rFonts w:ascii="Times New Roman" w:hAnsi="Times New Roman"/>
          <w:sz w:val="22"/>
        </w:rPr>
        <w:t>Comparison of flood hydrographs under four scenarios for the Oda River basin (72-hour event modelled on 2018 rainfall). Upper panel: rainfall intensity; lower panel: discharge. Scenarios: (1) no action, (2) confluence relocation, (3) groundwater management, (4) integrated approach.</w:t>
      </w:r>
    </w:p>
    <w:p>
      <w:pPr>
        <w:spacing w:before="120"/>
      </w:pPr>
      <w:r>
        <w:rPr>
          <w:rFonts w:ascii="Times New Roman" w:hAnsi="Times New Roman"/>
          <w:b/>
          <w:sz w:val="22"/>
        </w:rPr>
        <w:t xml:space="preserve">Fig. 4  </w:t>
      </w:r>
      <w:r>
        <w:rPr>
          <w:rFonts w:ascii="Times New Roman" w:hAnsi="Times New Roman"/>
          <w:sz w:val="22"/>
        </w:rPr>
        <w:t>Flood control effectiveness by scenario. (a) Peak discharge comparison; (b) Total runoff volume comparison. Percentages indicate reduction relative to no-action baseline.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