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9840</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Other Civilizations via I0 (factor 0.25×).</w:t>
      </w:r>
    </w:p>
    <w:p>
      <w:pPr>
        <w:pStyle w:val="ListBullet"/>
      </w:pPr>
      <w:r>
        <w:t>Dropout reduction gives the largest margin gain per 10%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five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the 90th percentile of observed dropout rates to prevent implausible extrapolation. Projected total inflows were apportioned across compartments using the observed 2016 distribution.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Annual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0.044</w:t>
            </w:r>
          </w:p>
        </w:tc>
        <w:tc>
          <w:tcPr>
            <w:tcW w:type="dxa" w:w="1234"/>
          </w:tcPr>
          <w:p>
            <w:r>
              <w:t>2.08</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0.030</w:t>
            </w:r>
          </w:p>
        </w:tc>
        <w:tc>
          <w:tcPr>
            <w:tcW w:type="dxa" w:w="1234"/>
          </w:tcPr>
          <w:p>
            <w:r>
              <w:t>3.06</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1.73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2.22</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0.058</w:t>
            </w:r>
          </w:p>
        </w:tc>
        <w:tc>
          <w:tcPr>
            <w:tcW w:type="dxa" w:w="1234"/>
          </w:tcPr>
          <w:p>
            <w:r>
              <w:t>2.00</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0.086</w:t>
            </w:r>
          </w:p>
        </w:tc>
        <w:tc>
          <w:tcPr>
            <w:tcW w:type="dxa" w:w="1234"/>
          </w:tcPr>
          <w:p>
            <w:r>
              <w:t>1.67</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1.67</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2.56</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0.027</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2.66 and MAPE 35.9% (a non-standard, conservative measure computed against count_obs + 1 to avoid division by zero).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1.79</w:t>
            </w:r>
          </w:p>
        </w:tc>
        <w:tc>
          <w:tcPr>
            <w:tcW w:type="dxa" w:w="2880"/>
          </w:tcPr>
          <w:p>
            <w:r>
              <w:t>24.5%</w:t>
            </w:r>
          </w:p>
        </w:tc>
      </w:tr>
      <w:tr>
        <w:tc>
          <w:tcPr>
            <w:tcW w:type="dxa" w:w="2880"/>
          </w:tcPr>
          <w:p>
            <w:r>
              <w:t>Continental Europe</w:t>
            </w:r>
          </w:p>
        </w:tc>
        <w:tc>
          <w:tcPr>
            <w:tcW w:type="dxa" w:w="2880"/>
          </w:tcPr>
          <w:p>
            <w:r>
              <w:t>2.12</w:t>
            </w:r>
          </w:p>
        </w:tc>
        <w:tc>
          <w:tcPr>
            <w:tcW w:type="dxa" w:w="2880"/>
          </w:tcPr>
          <w:p>
            <w:r>
              <w:t>28.5%</w:t>
            </w:r>
          </w:p>
        </w:tc>
      </w:tr>
      <w:tr>
        <w:tc>
          <w:tcPr>
            <w:tcW w:type="dxa" w:w="2880"/>
          </w:tcPr>
          <w:p>
            <w:r>
              <w:t>Hindu</w:t>
            </w:r>
          </w:p>
        </w:tc>
        <w:tc>
          <w:tcPr>
            <w:tcW w:type="dxa" w:w="2880"/>
          </w:tcPr>
          <w:p>
            <w:r>
              <w:t>1.56</w:t>
            </w:r>
          </w:p>
        </w:tc>
        <w:tc>
          <w:tcPr>
            <w:tcW w:type="dxa" w:w="2880"/>
          </w:tcPr>
          <w:p>
            <w:r>
              <w:t>30.5%</w:t>
            </w:r>
          </w:p>
        </w:tc>
      </w:tr>
      <w:tr>
        <w:tc>
          <w:tcPr>
            <w:tcW w:type="dxa" w:w="2880"/>
          </w:tcPr>
          <w:p>
            <w:r>
              <w:t>Islamic</w:t>
            </w:r>
          </w:p>
        </w:tc>
        <w:tc>
          <w:tcPr>
            <w:tcW w:type="dxa" w:w="2880"/>
          </w:tcPr>
          <w:p>
            <w:r>
              <w:t>3.05</w:t>
            </w:r>
          </w:p>
        </w:tc>
        <w:tc>
          <w:tcPr>
            <w:tcW w:type="dxa" w:w="2880"/>
          </w:tcPr>
          <w:p>
            <w:r>
              <w:t>48.0%</w:t>
            </w:r>
          </w:p>
        </w:tc>
      </w:tr>
      <w:tr>
        <w:tc>
          <w:tcPr>
            <w:tcW w:type="dxa" w:w="2880"/>
          </w:tcPr>
          <w:p>
            <w:r>
              <w:t>Japanese</w:t>
            </w:r>
          </w:p>
        </w:tc>
        <w:tc>
          <w:tcPr>
            <w:tcW w:type="dxa" w:w="2880"/>
          </w:tcPr>
          <w:p>
            <w:r>
              <w:t>1.23</w:t>
            </w:r>
          </w:p>
        </w:tc>
        <w:tc>
          <w:tcPr>
            <w:tcW w:type="dxa" w:w="2880"/>
          </w:tcPr>
          <w:p>
            <w:r>
              <w:t>32.3%</w:t>
            </w:r>
          </w:p>
        </w:tc>
      </w:tr>
      <w:tr>
        <w:tc>
          <w:tcPr>
            <w:tcW w:type="dxa" w:w="2880"/>
          </w:tcPr>
          <w:p>
            <w:r>
              <w:t>Other Civilizations</w:t>
            </w:r>
          </w:p>
        </w:tc>
        <w:tc>
          <w:tcPr>
            <w:tcW w:type="dxa" w:w="2880"/>
          </w:tcPr>
          <w:p>
            <w:r>
              <w:t>1.72</w:t>
            </w:r>
          </w:p>
        </w:tc>
        <w:tc>
          <w:tcPr>
            <w:tcW w:type="dxa" w:w="2880"/>
          </w:tcPr>
          <w:p>
            <w:r>
              <w:t>36.7%</w:t>
            </w:r>
          </w:p>
        </w:tc>
      </w:tr>
      <w:tr>
        <w:tc>
          <w:tcPr>
            <w:tcW w:type="dxa" w:w="2880"/>
          </w:tcPr>
          <w:p>
            <w:r>
              <w:t>Other Western</w:t>
            </w:r>
          </w:p>
        </w:tc>
        <w:tc>
          <w:tcPr>
            <w:tcW w:type="dxa" w:w="2880"/>
          </w:tcPr>
          <w:p>
            <w:r>
              <w:t>2.22</w:t>
            </w:r>
          </w:p>
        </w:tc>
        <w:tc>
          <w:tcPr>
            <w:tcW w:type="dxa" w:w="2880"/>
          </w:tcPr>
          <w:p>
            <w:r>
              <w:t>34.8%</w:t>
            </w:r>
          </w:p>
        </w:tc>
      </w:tr>
      <w:tr>
        <w:tc>
          <w:tcPr>
            <w:tcW w:type="dxa" w:w="2880"/>
          </w:tcPr>
          <w:p>
            <w:r>
              <w:t>Sinic</w:t>
            </w:r>
          </w:p>
        </w:tc>
        <w:tc>
          <w:tcPr>
            <w:tcW w:type="dxa" w:w="2880"/>
          </w:tcPr>
          <w:p>
            <w:r>
              <w:t>4.43</w:t>
            </w:r>
          </w:p>
        </w:tc>
        <w:tc>
          <w:tcPr>
            <w:tcW w:type="dxa" w:w="2880"/>
          </w:tcPr>
          <w:p>
            <w:r>
              <w:t>54.5%</w:t>
            </w:r>
          </w:p>
        </w:tc>
      </w:tr>
      <w:tr>
        <w:tc>
          <w:tcPr>
            <w:tcW w:type="dxa" w:w="2880"/>
          </w:tcPr>
          <w:p>
            <w:r>
              <w:t>United States</w:t>
            </w:r>
          </w:p>
        </w:tc>
        <w:tc>
          <w:tcPr>
            <w:tcW w:type="dxa" w:w="2880"/>
          </w:tcPr>
          <w:p>
            <w:r>
              <w:t>3.87</w:t>
            </w:r>
          </w:p>
        </w:tc>
        <w:tc>
          <w:tcPr>
            <w:tcW w:type="dxa" w:w="2880"/>
          </w:tcPr>
          <w:p>
            <w:r>
              <w:t>33.6%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0.86</w:t>
            </w:r>
          </w:p>
        </w:tc>
        <w:tc>
          <w:tcPr>
            <w:tcW w:type="dxa" w:w="2880"/>
          </w:tcPr>
          <w:p>
            <w:r>
              <w:t>55.0%</w:t>
            </w:r>
          </w:p>
        </w:tc>
      </w:tr>
      <w:tr>
        <w:tc>
          <w:tcPr>
            <w:tcW w:type="dxa" w:w="2880"/>
          </w:tcPr>
          <w:p>
            <w:r>
              <w:t>D</w:t>
            </w:r>
          </w:p>
        </w:tc>
        <w:tc>
          <w:tcPr>
            <w:tcW w:type="dxa" w:w="2880"/>
          </w:tcPr>
          <w:p>
            <w:r>
              <w:t>1.51</w:t>
            </w:r>
          </w:p>
        </w:tc>
        <w:tc>
          <w:tcPr>
            <w:tcW w:type="dxa" w:w="2880"/>
          </w:tcPr>
          <w:p>
            <w:r>
              <w:t>21.1%</w:t>
            </w:r>
          </w:p>
        </w:tc>
      </w:tr>
      <w:tr>
        <w:tc>
          <w:tcPr>
            <w:tcW w:type="dxa" w:w="2880"/>
          </w:tcPr>
          <w:p>
            <w:r>
              <w:t>H_A</w:t>
            </w:r>
          </w:p>
        </w:tc>
        <w:tc>
          <w:tcPr>
            <w:tcW w:type="dxa" w:w="2880"/>
          </w:tcPr>
          <w:p>
            <w:r>
              <w:t>1.52</w:t>
            </w:r>
          </w:p>
        </w:tc>
        <w:tc>
          <w:tcPr>
            <w:tcW w:type="dxa" w:w="2880"/>
          </w:tcPr>
          <w:p>
            <w:r>
              <w:t>27.6%</w:t>
            </w:r>
          </w:p>
        </w:tc>
      </w:tr>
      <w:tr>
        <w:tc>
          <w:tcPr>
            <w:tcW w:type="dxa" w:w="2880"/>
          </w:tcPr>
          <w:p>
            <w:r>
              <w:t>H_D</w:t>
            </w:r>
          </w:p>
        </w:tc>
        <w:tc>
          <w:tcPr>
            <w:tcW w:type="dxa" w:w="2880"/>
          </w:tcPr>
          <w:p>
            <w:r>
              <w:t>4.68</w:t>
            </w:r>
          </w:p>
        </w:tc>
        <w:tc>
          <w:tcPr>
            <w:tcW w:type="dxa" w:w="2880"/>
          </w:tcPr>
          <w:p>
            <w:r>
              <w:t>32.3%</w:t>
            </w:r>
          </w:p>
        </w:tc>
      </w:tr>
      <w:tr>
        <w:tc>
          <w:tcPr>
            <w:tcW w:type="dxa" w:w="2880"/>
          </w:tcPr>
          <w:p>
            <w:r>
              <w:t>P_A</w:t>
            </w:r>
          </w:p>
        </w:tc>
        <w:tc>
          <w:tcPr>
            <w:tcW w:type="dxa" w:w="2880"/>
          </w:tcPr>
          <w:p>
            <w:r>
              <w:t>1.99</w:t>
            </w:r>
          </w:p>
        </w:tc>
        <w:tc>
          <w:tcPr>
            <w:tcW w:type="dxa" w:w="2880"/>
          </w:tcPr>
          <w:p>
            <w:r>
              <w:t>46.9%</w:t>
            </w:r>
          </w:p>
        </w:tc>
      </w:tr>
      <w:tr>
        <w:tc>
          <w:tcPr>
            <w:tcW w:type="dxa" w:w="2880"/>
          </w:tcPr>
          <w:p>
            <w:r>
              <w:t>P_D</w:t>
            </w:r>
          </w:p>
        </w:tc>
        <w:tc>
          <w:tcPr>
            <w:tcW w:type="dxa" w:w="2880"/>
          </w:tcPr>
          <w:p>
            <w:r>
              <w:t>3.33</w:t>
            </w:r>
          </w:p>
        </w:tc>
        <w:tc>
          <w:tcPr>
            <w:tcW w:type="dxa" w:w="2880"/>
          </w:tcPr>
          <w:p>
            <w:r>
              <w:t>32.7%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2.66 and conservative MAPE of 35.9% are consistent with a model that is deliberately regularised rather than optimised for in-sample fit.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