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Uniform fees and regional audits separate structural from administrative variation.</w:t>
      </w:r>
    </w:p>
    <w:p>
      <w:pPr>
        <w:pStyle w:val="ListBullet"/>
      </w:pPr>
      <w:r>
        <w:rPr>
          <w:rFonts w:ascii="Times New Roman" w:hAnsi="Times New Roman"/>
          <w:sz w:val="24"/>
        </w:rPr>
        <w:t>Regional anaesthesia variation is driven by university-hospital access, not auditing.</w:t>
      </w:r>
    </w:p>
    <w:p>
      <w:pPr>
        <w:pStyle w:val="ListBullet"/>
      </w:pPr>
      <w:r>
        <w:rPr>
          <w:rFonts w:ascii="Times New Roman" w:hAnsi="Times New Roman"/>
          <w:sz w:val="24"/>
        </w:rPr>
        <w:t>University hospital presence explains 35.8% of general-anaesthesia variance.</w:t>
      </w:r>
    </w:p>
    <w:p>
      <w:pPr>
        <w:pStyle w:val="ListBullet"/>
      </w:pPr>
      <w:r>
        <w:rPr>
          <w:rFonts w:ascii="Times New Roman" w:hAnsi="Times New Roman"/>
          <w:sz w:val="24"/>
        </w:rPr>
        <w:t>Audit-related ratio shifts account for &lt;1% of observed interquartile range.</w:t>
      </w:r>
    </w:p>
    <w:p>
      <w:pPr>
        <w:pStyle w:val="ListBullet"/>
      </w:pPr>
      <w:r>
        <w:rPr>
          <w:rFonts w:ascii="Times New Roman" w:hAnsi="Times New Roman"/>
          <w:sz w:val="24"/>
        </w:rPr>
        <w:t>Transferable to UHC systems with uniform fees and regional audits; less so elsewhere.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