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Regional variation in anaesthesia practice in Japan under universal health coverage: structural determinants and claims-audit sensitivity</w:t>
      </w:r>
    </w:p>
    <w:p>
      <w:pPr>
        <w:jc w:val="center"/>
      </w:pPr>
      <w:r>
        <w:rPr>
          <w:rFonts w:ascii="Times New Roman" w:hAnsi="Times New Roman"/>
          <w:i/>
          <w:sz w:val="24"/>
        </w:rPr>
        <w:t>Running header: Anaesthesia variation in Japan</w:t>
      </w:r>
    </w:p>
    <w:p>
      <w:pPr>
        <w:spacing w:after="0"/>
      </w:pPr>
    </w:p>
    <w:p>
      <w:pPr>
        <w:jc w:val="center"/>
      </w:pPr>
      <w:r>
        <w:rPr>
          <w:rFonts w:ascii="Times New Roman" w:hAnsi="Times New Roman"/>
          <w:i/>
          <w:sz w:val="24"/>
        </w:rPr>
        <w:t>[Author names, affiliations and contact details are provided in the separate title-page file.]</w:t>
      </w:r>
    </w:p>
    <w:p>
      <w:pPr>
        <w:spacing w:after="0"/>
      </w:pPr>
    </w:p>
    <w:p>
      <w:r>
        <w:rPr>
          <w:rFonts w:ascii="Times New Roman" w:hAnsi="Times New Roman"/>
          <w:i/>
          <w:sz w:val="24"/>
        </w:rPr>
        <w:t>Article type: Original research article</w:t>
      </w:r>
    </w:p>
    <w:p>
      <w:r>
        <w:rPr>
          <w:rFonts w:ascii="Times New Roman" w:hAnsi="Times New Roman"/>
          <w:i/>
          <w:sz w:val="24"/>
        </w:rPr>
        <w:t>Word count (main text, excluding abstract, references, tables and figures): approximately 3180 words</w:t>
      </w:r>
    </w:p>
    <w:p>
      <w:r>
        <w:rPr>
          <w:rFonts w:ascii="Times New Roman" w:hAnsi="Times New Roman"/>
          <w:i/>
          <w:sz w:val="24"/>
        </w:rPr>
        <w:t>Tables: 3   Figures: 2   References: 20</w:t>
      </w:r>
    </w:p>
    <w:p>
      <w:r>
        <w:rPr>
          <w:rFonts w:ascii="Times New Roman" w:hAnsi="Times New Roman"/>
          <w:i/>
          <w:sz w:val="24"/>
        </w:rPr>
        <w:t>Highlights: 3-5 bullet points summarising novel findings (uploaded as a separate file)</w:t>
      </w:r>
    </w:p>
    <w:p>
      <w:r>
        <w:rPr>
          <w:rFonts w:ascii="Times New Roman" w:hAnsi="Times New Roman"/>
          <w:i/>
          <w:sz w:val="24"/>
        </w:rPr>
        <w:t>Reporting guideline: STROBE checklist for cross-sectional studies (uploaded as supplementary material)</w:t>
      </w:r>
    </w:p>
    <w:p>
      <w:r>
        <w:rPr>
          <w:rFonts w:ascii="Times New Roman" w:hAnsi="Times New Roman"/>
          <w:i/>
          <w:sz w:val="24"/>
        </w:rPr>
        <w:t>Target journal: Journal of Clinical Anesthesia</w:t>
      </w:r>
    </w:p>
    <w:p>
      <w:r>
        <w:br w:type="page"/>
      </w:r>
    </w:p>
    <w:p>
      <w:pPr>
        <w:jc w:val="center"/>
      </w:pPr>
      <w:r>
        <w:rPr>
          <w:rFonts w:ascii="Times New Roman" w:hAnsi="Times New Roman"/>
          <w:b/>
          <w:sz w:val="24"/>
        </w:rPr>
        <w:t>Regional variation in anaesthesia practice in Japan under universal health coverage: structural determinants and claims-audit sensitivity</w:t>
      </w:r>
    </w:p>
    <w:p>
      <w:pPr>
        <w:spacing w:after="0"/>
      </w:pPr>
    </w:p>
    <w:p>
      <w:pPr>
        <w:spacing w:before="0" w:after="120"/>
      </w:pPr>
      <w:r>
        <w:rPr>
          <w:rFonts w:ascii="Times New Roman" w:hAnsi="Times New Roman"/>
          <w:b/>
          <w:sz w:val="26"/>
        </w:rPr>
        <w:t>ABSTRACT</w:t>
      </w:r>
    </w:p>
    <w:p>
      <w:r>
        <w:rPr>
          <w:rFonts w:ascii="Times New Roman" w:hAnsi="Times New Roman"/>
          <w:sz w:val="24"/>
        </w:rPr>
        <w:t>Background: Geographic variation in anaesthesia technique is well documented, but it is rarely possible to separate true differences in care from artefacts of coding, reimbursement and auditing. Japan's uniform national fee schedule combined with prefecture-specific claims auditing creates a natural experiment for this separation.</w:t>
      </w:r>
    </w:p>
    <w:p>
      <w:r>
        <w:rPr>
          <w:rFonts w:ascii="Times New Roman" w:hAnsi="Times New Roman"/>
          <w:sz w:val="24"/>
        </w:rPr>
        <w:t>Methods: Cross-sectional ecological study of age- and sex-standardised claim ratios for general, spinal, epidural and continuous epidural anaesthesia across 335 secondary medical areas nested within 47 prefectures, fiscal year 2022. We fitted multilevel linear models with prefecture random intercepts and a university-hospital fixed effect, and conducted sensitivity analyses for population density, anaesthesiologist supply and plausible differential audit rates.</w:t>
      </w:r>
    </w:p>
    <w:p>
      <w:r>
        <w:rPr>
          <w:rFonts w:ascii="Times New Roman" w:hAnsi="Times New Roman"/>
          <w:sz w:val="24"/>
        </w:rPr>
        <w:t>Results: Coefficients of variation ranged from 53.7% (general anaesthesia) to 87.2% (epidural). For general anaesthesia, only 0.058 of variance lay between prefectures; university hospital presence explained 0.358 of total variance (</w:t>
      </w:r>
      <m:oMath>
        <m:r>
          <m:t xml:space="preserve">β </m:t>
        </m:r>
        <m:r>
          <m:t xml:space="preserve">= </m:t>
        </m:r>
        <m:r>
          <m:t xml:space="preserve">64.1</m:t>
        </m:r>
        <m:r>
          <m:t xml:space="preserve">, </m:t>
        </m:r>
        <m:r>
          <m:t xml:space="preserve">95% CI </m:t>
        </m:r>
        <m:r>
          <m:t xml:space="preserve">54.8 </m:t>
        </m:r>
        <m:r>
          <m:t xml:space="preserve">to </m:t>
        </m:r>
        <m:r>
          <m:t xml:space="preserve">73.4</m:t>
        </m:r>
        <m:r>
          <m:t xml:space="preserve">, </m:t>
        </m:r>
        <m:r>
          <m:t xml:space="preserve">P </m:t>
        </m:r>
        <m:r>
          <m:t xml:space="preserve">&lt;</m:t>
        </m:r>
        <m:r>
          <m:t xml:space="preserve">0.001</m:t>
        </m:r>
      </m:oMath>
      <w:r>
        <w:rPr>
          <w:rFonts w:ascii="Times New Roman" w:hAnsi="Times New Roman"/>
          <w:sz w:val="24"/>
        </w:rPr>
        <w:t>) and was positive in every prefecture. Maximum plausible audit-related ratio shifts were small relative to the observed interquartile range (general anaesthesia: 0.53%). Covariate adjustment attenuated but did not eliminate the university-hospital effect for general, epidural and continuous epidural anaesthesia.</w:t>
      </w:r>
    </w:p>
    <w:p>
      <w:r>
        <w:rPr>
          <w:rFonts w:ascii="Times New Roman" w:hAnsi="Times New Roman"/>
          <w:sz w:val="24"/>
        </w:rPr>
        <w:t>Conclusion: Regional variation in anaesthesia practice is predominantly structural, driven by access to university hospitals rather than by prefectural auditing. In universal-coverage systems this pattern indicates inequitable access to neuraxial techniques; policy should address workforce and organisational barriers, not additional coding audits.</w:t>
      </w:r>
    </w:p>
    <w:p>
      <w:pPr>
        <w:spacing w:after="0"/>
      </w:pPr>
    </w:p>
    <w:p>
      <w:r>
        <w:rPr>
          <w:rFonts w:ascii="Times New Roman" w:hAnsi="Times New Roman"/>
          <w:sz w:val="24"/>
        </w:rPr>
        <w:t xml:space="preserve">Keywords: </w:t>
      </w:r>
    </w:p>
    <w:p>
      <w:r>
        <w:rPr>
          <w:rFonts w:ascii="Times New Roman" w:hAnsi="Times New Roman"/>
          <w:sz w:val="24"/>
        </w:rPr>
        <w:t>anaesthesia; neuraxial anaesthesia; small-area variation; multilevel analysis; quality of care; perioperative medicine; health equity; Japan</w:t>
      </w:r>
    </w:p>
    <w:p>
      <w:r>
        <w:br w:type="page"/>
      </w:r>
    </w:p>
    <w:p>
      <w:pPr>
        <w:spacing w:before="0" w:after="120"/>
      </w:pPr>
      <w:r>
        <w:rPr>
          <w:rFonts w:ascii="Times New Roman" w:hAnsi="Times New Roman"/>
          <w:b/>
          <w:sz w:val="26"/>
        </w:rPr>
        <w:t>1. INTRODUCTION</w:t>
      </w:r>
    </w:p>
    <w:p>
      <w:r>
        <w:rPr>
          <w:rFonts w:ascii="Times New Roman" w:hAnsi="Times New Roman"/>
          <w:sz w:val="24"/>
        </w:rPr>
        <w:t>National administrative claims data are a cornerstone of health-services and epidemiologic surveillance in countries with universal health coverage.</w:t>
      </w:r>
      <w:r>
        <w:rPr>
          <w:rFonts w:ascii="Times New Roman" w:hAnsi="Times New Roman"/>
          <w:sz w:val="24"/>
          <w:vertAlign w:val="superscript"/>
        </w:rPr>
        <w:t>1</w:t>
      </w:r>
      <w:r>
        <w:rPr>
          <w:rFonts w:ascii="Times New Roman" w:hAnsi="Times New Roman"/>
          <w:sz w:val="24"/>
        </w:rPr>
        <w:t xml:space="preserve"> Because claims record reimbursed procedures, they capture documented care rather than bedside intention; in systems with uniform fee schedules, however, geographic variation in claims is commonly interpreted as a signal of differences in service delivery, practice style and unmet need.</w:t>
      </w:r>
      <w:r>
        <w:rPr>
          <w:rFonts w:ascii="Times New Roman" w:hAnsi="Times New Roman"/>
          <w:sz w:val="24"/>
          <w:vertAlign w:val="superscript"/>
        </w:rPr>
        <w:t>1,2</w:t>
      </w:r>
      <w:r>
        <w:rPr>
          <w:rFonts w:ascii="Times New Roman" w:hAnsi="Times New Roman"/>
          <w:sz w:val="24"/>
        </w:rPr>
        <w:t xml:space="preserve"> The same records are also used for prefecture-level insurance auditing (shinsa), and audit intensity varies across prefectures.</w:t>
      </w:r>
      <w:r>
        <w:rPr>
          <w:rFonts w:ascii="Times New Roman" w:hAnsi="Times New Roman"/>
          <w:sz w:val="24"/>
          <w:vertAlign w:val="superscript"/>
        </w:rPr>
        <w:t>3</w:t>
      </w:r>
      <w:r>
        <w:rPr>
          <w:rFonts w:ascii="Times New Roman" w:hAnsi="Times New Roman"/>
          <w:sz w:val="24"/>
        </w:rPr>
        <w:t xml:space="preserve"> Where audits differ, between-area variation in claims could reflect differential scrutiny rather than differential care. Distinguishing between them is important for population health research and policy: if variation is real, it signals inequitable access; if it is an artefact, quality-improvement and payment reforms may be misdirected.</w:t>
      </w:r>
    </w:p>
    <w:p>
      <w:r>
        <w:rPr>
          <w:rFonts w:ascii="Times New Roman" w:hAnsi="Times New Roman"/>
          <w:sz w:val="24"/>
        </w:rPr>
        <w:t>Japan offers a natural experiment for this question. The fee schedule and insured benefits are nationally uniform, so price variation is eliminated, while prefectures independently operate claims audits. Anaesthesia is a useful tracer: the choice between general anaesthesia alone and neuraxial or combined techniques is clinically consequential and plausibly linked to outcomes, yet the technical and workforce requirements for neuraxial techniques tend to concentrate in teaching hospitals.</w:t>
      </w:r>
      <w:r>
        <w:rPr>
          <w:rFonts w:ascii="Times New Roman" w:hAnsi="Times New Roman"/>
          <w:sz w:val="24"/>
          <w:vertAlign w:val="superscript"/>
        </w:rPr>
        <w:t>4-5</w:t>
      </w:r>
      <w:r>
        <w:rPr>
          <w:rFonts w:ascii="Times New Roman" w:hAnsi="Times New Roman"/>
          <w:sz w:val="24"/>
        </w:rPr>
        <w:t xml:space="preserve"> If access to these techniques varies by geography, patients' probability of receiving potentially beneficial care depends on place of residence, an equity problem under universal coverage. Japan's 2026 fee-schedule revision clarified the billing code for general anaesthesia, reducing one source of coding ambiguity.</w:t>
      </w:r>
      <w:r>
        <w:rPr>
          <w:rFonts w:ascii="Times New Roman" w:hAnsi="Times New Roman"/>
          <w:sz w:val="24"/>
          <w:vertAlign w:val="superscript"/>
        </w:rPr>
        <w:t>6</w:t>
      </w:r>
    </w:p>
    <w:p>
      <w:r>
        <w:rPr>
          <w:rFonts w:ascii="Times New Roman" w:hAnsi="Times New Roman"/>
          <w:sz w:val="24"/>
        </w:rPr>
        <w:t>We used publicly available, age- and sex-standardised claim ratios to ask: (i) How large is regional variation in anaesthesia practice across Japan's secondary medical areas? (ii) Is the variation consistent with differential prefectural auditing? (iii) What proportion of variance lies between versus within prefectures? (iv) Is the distribution associated with proximity to university hospitals after adjusting for population density and anaesthesiologist supply? By exploiting the nesting of secondary medical areas within prefectures, we provide a transferable framework for distinguishing administrative from structural sources of small-area variation in other universal-coverage systems.</w:t>
      </w:r>
    </w:p>
    <w:p>
      <w:pPr>
        <w:spacing w:before="240" w:after="120"/>
      </w:pPr>
      <w:r>
        <w:rPr>
          <w:rFonts w:ascii="Times New Roman" w:hAnsi="Times New Roman"/>
          <w:b/>
          <w:sz w:val="26"/>
        </w:rPr>
        <w:t>2. MATERIALS AND METHODS</w:t>
      </w:r>
    </w:p>
    <w:p>
      <w:pPr>
        <w:spacing w:before="160" w:after="80"/>
      </w:pPr>
      <w:r>
        <w:rPr>
          <w:rFonts w:ascii="Times New Roman" w:hAnsi="Times New Roman"/>
          <w:b/>
          <w:sz w:val="24"/>
        </w:rPr>
        <w:t>2.1 Study design and ethical considerations</w:t>
      </w:r>
    </w:p>
    <w:p>
      <w:r>
        <w:rPr>
          <w:rFonts w:ascii="Times New Roman" w:hAnsi="Times New Roman"/>
          <w:sz w:val="24"/>
        </w:rPr>
        <w:t>This was a cross-sectional ecological study using publicly available aggregate data only. No individual-level data were accessed. Patients and the public were not involved in the design, conduct or reporting of this study because it uses aggregate, publicly released data. Ethics committee approval was not required under the Ethical Guidelines for Medical and Biological Research Involving Human Subjects (Japan, 2021 revision). The study was reported in accordance with the Strengthening the Reporting of Observational Studies in Epidemiology (STROBE) checklist for cross-sectional studies,</w:t>
      </w:r>
      <w:r>
        <w:rPr>
          <w:rFonts w:ascii="Times New Roman" w:hAnsi="Times New Roman"/>
          <w:sz w:val="24"/>
          <w:vertAlign w:val="superscript"/>
        </w:rPr>
        <w:t>7</w:t>
      </w:r>
      <w:r>
        <w:rPr>
          <w:rFonts w:ascii="Times New Roman" w:hAnsi="Times New Roman"/>
          <w:sz w:val="24"/>
        </w:rPr>
        <w:t xml:space="preserve"> which is provided as supplementary material.</w:t>
      </w:r>
    </w:p>
    <w:p>
      <w:pPr>
        <w:spacing w:before="160" w:after="80"/>
      </w:pPr>
      <w:r>
        <w:rPr>
          <w:rFonts w:ascii="Times New Roman" w:hAnsi="Times New Roman"/>
          <w:b/>
          <w:sz w:val="24"/>
        </w:rPr>
        <w:t>2.2 Geographic units</w:t>
      </w:r>
    </w:p>
    <w:p>
      <w:r>
        <w:rPr>
          <w:rFonts w:ascii="Times New Roman" w:hAnsi="Times New Roman"/>
          <w:sz w:val="24"/>
        </w:rPr>
        <w:t>Japan's healthcare delivery system is organised into a hierarchical structure of medical areas defined under Article 30-4 of the Medical Care Act.</w:t>
      </w:r>
      <w:r>
        <w:rPr>
          <w:rFonts w:ascii="Times New Roman" w:hAnsi="Times New Roman"/>
          <w:sz w:val="24"/>
          <w:vertAlign w:val="superscript"/>
        </w:rPr>
        <w:t>8</w:t>
      </w:r>
      <w:r>
        <w:rPr>
          <w:rFonts w:ascii="Times New Roman" w:hAnsi="Times New Roman"/>
          <w:sz w:val="24"/>
        </w:rPr>
        <w:t xml:space="preserve"> The 47 prefectures serve as tertiary medical areas; within each prefecture, secondary medical areas (n = 335 nationally) are designated as the basic units for inpatient care planning. Crucially, secondary medical areas are completely nested within prefectures and do not cross prefectural boundaries. This nesting differs from the Hospital Service Areas and Hospital Referral Regions used in the United States, which can cross state boundaries,</w:t>
      </w:r>
      <w:r>
        <w:rPr>
          <w:rFonts w:ascii="Times New Roman" w:hAnsi="Times New Roman"/>
          <w:sz w:val="24"/>
          <w:vertAlign w:val="superscript"/>
        </w:rPr>
        <w:t>9</w:t>
      </w:r>
      <w:r>
        <w:rPr>
          <w:rFonts w:ascii="Times New Roman" w:hAnsi="Times New Roman"/>
          <w:sz w:val="24"/>
        </w:rPr>
        <w:t xml:space="preserve"> and makes within-prefecture comparisons unconfounded by spillover under a common audit policy.</w:t>
      </w:r>
    </w:p>
    <w:p>
      <w:pPr>
        <w:spacing w:before="160" w:after="80"/>
      </w:pPr>
      <w:r>
        <w:rPr>
          <w:rFonts w:ascii="Times New Roman" w:hAnsi="Times New Roman"/>
          <w:b/>
          <w:sz w:val="24"/>
        </w:rPr>
        <w:t>2.3 Data sources and standardised claim ratios</w:t>
      </w:r>
    </w:p>
    <w:p>
      <w:r>
        <w:rPr>
          <w:rFonts w:ascii="Times New Roman" w:hAnsi="Times New Roman"/>
          <w:sz w:val="24"/>
        </w:rPr>
        <w:t>We used three data sources. First, standardised claim ratios for fiscal year 2022 published by the Cabinet Office under the 'Regional Variation Visualisation' initiative.</w:t>
      </w:r>
      <w:r>
        <w:rPr>
          <w:rFonts w:ascii="Times New Roman" w:hAnsi="Times New Roman"/>
          <w:sz w:val="24"/>
          <w:vertAlign w:val="superscript"/>
        </w:rPr>
        <w:t>10</w:t>
      </w:r>
      <w:r>
        <w:rPr>
          <w:rFonts w:ascii="Times New Roman" w:hAnsi="Times New Roman"/>
          <w:sz w:val="24"/>
        </w:rPr>
        <w:t xml:space="preserve"> Standardised claim ratios are computed by indirect standardisation: expected claim frequencies are calculated by applying national age- and sex-specific claim rates to the local population structure, and the ratio is defined as 100 × (observed claims / expected claims). Ratios are calculated on a residence basis, so claims are attributed to the beneficiary's registered address rather than to the providing facility. Patient travel for treatment therefore does not inflate the ratio of the receiving area. Areas with very few claims are masked by the data provider to protect privacy and appear as missing values. Second, we obtained physician statistics from the 2022 Survey of Physicians, Dentists and Pharmacists.</w:t>
      </w:r>
      <w:r>
        <w:rPr>
          <w:rFonts w:ascii="Times New Roman" w:hAnsi="Times New Roman"/>
          <w:sz w:val="24"/>
          <w:vertAlign w:val="superscript"/>
        </w:rPr>
        <w:t>11</w:t>
      </w:r>
      <w:r>
        <w:rPr>
          <w:rFonts w:ascii="Times New Roman" w:hAnsi="Times New Roman"/>
          <w:sz w:val="24"/>
        </w:rPr>
        <w:t xml:space="preserve"> Third, secondary medical area boundaries, land area and population density were obtained from the National Land Numerical Information medical-area dataset (A38-20).</w:t>
      </w:r>
      <w:r>
        <w:rPr>
          <w:rFonts w:ascii="Times New Roman" w:hAnsi="Times New Roman"/>
          <w:sz w:val="24"/>
          <w:vertAlign w:val="superscript"/>
        </w:rPr>
        <w:t>12</w:t>
      </w:r>
    </w:p>
    <w:p>
      <w:pPr>
        <w:spacing w:before="160" w:after="80"/>
      </w:pPr>
      <w:r>
        <w:rPr>
          <w:rFonts w:ascii="Times New Roman" w:hAnsi="Times New Roman"/>
          <w:b/>
          <w:sz w:val="24"/>
        </w:rPr>
        <w:t>2.4 Anaesthesia procedure codes and university hospital mapping</w:t>
      </w:r>
    </w:p>
    <w:p>
      <w:r>
        <w:rPr>
          <w:rFonts w:ascii="Times New Roman" w:hAnsi="Times New Roman"/>
          <w:sz w:val="24"/>
        </w:rPr>
        <w:t>Six procedure codes from the Japanese fee schedule were analysed (Table 1): L008 (closed-circuit general anaesthesia); L002 (epidural anaesthesia as main technique); L003 (continuous epidural infusion, largely billed as adjunct to general anaesthesia); L004 (spinal anaesthesia); L009 (anaesthesia management fee I, a proxy for specialist staffing); and L100 (inpatient nerve block). We mapped university hospitals to their respective secondary medical areas based on municipal address. 64 secondary medical areas (19.1%) contained at least one university hospital, distributed across all 47 prefectures, which enables within-prefecture comparisons between university and non-university areas under a common audit policy.</w:t>
      </w:r>
    </w:p>
    <w:p>
      <w:pPr>
        <w:spacing w:before="240" w:after="120"/>
      </w:pPr>
      <w:r>
        <w:rPr>
          <w:rFonts w:ascii="Times New Roman" w:hAnsi="Times New Roman"/>
          <w:b/>
          <w:sz w:val="24"/>
        </w:rPr>
        <w:t>Table 1. Anaesthesia procedure codes analysed across 335 secondary medical areas of Japan, fiscal year 2022.</w:t>
      </w:r>
    </w:p>
    <w:tbl>
      <w:tblPr>
        <w:tblStyle w:val="TableGrid"/>
        <w:tblW w:type="auto" w:w="0"/>
        <w:tblLook w:firstColumn="1" w:firstRow="1" w:lastColumn="0" w:lastRow="0" w:noHBand="0" w:noVBand="1" w:val="04A0"/>
      </w:tblPr>
      <w:tblGrid>
        <w:gridCol w:w="3009"/>
        <w:gridCol w:w="3009"/>
        <w:gridCol w:w="3009"/>
      </w:tblGrid>
      <w:tr>
        <w:tc>
          <w:tcPr>
            <w:tcW w:type="dxa" w:w="3009"/>
          </w:tcPr>
          <w:p>
            <w:r/>
            <w:r>
              <w:rPr>
                <w:rFonts w:ascii="Times New Roman" w:hAnsi="Times New Roman"/>
                <w:b/>
                <w:sz w:val="20"/>
              </w:rPr>
              <w:t>Code</w:t>
            </w:r>
          </w:p>
        </w:tc>
        <w:tc>
          <w:tcPr>
            <w:tcW w:type="dxa" w:w="3009"/>
          </w:tcPr>
          <w:p>
            <w:r/>
            <w:r>
              <w:rPr>
                <w:rFonts w:ascii="Times New Roman" w:hAnsi="Times New Roman"/>
                <w:b/>
                <w:sz w:val="20"/>
              </w:rPr>
              <w:t>Procedure</w:t>
            </w:r>
          </w:p>
        </w:tc>
        <w:tc>
          <w:tcPr>
            <w:tcW w:type="dxa" w:w="3009"/>
          </w:tcPr>
          <w:p>
            <w:r/>
            <w:r>
              <w:rPr>
                <w:rFonts w:ascii="Times New Roman" w:hAnsi="Times New Roman"/>
                <w:b/>
                <w:sz w:val="20"/>
              </w:rPr>
              <w:t>Notes</w:t>
            </w:r>
          </w:p>
        </w:tc>
      </w:tr>
      <w:tr>
        <w:tc>
          <w:tcPr>
            <w:tcW w:type="dxa" w:w="3009"/>
          </w:tcPr>
          <w:p>
            <w:r/>
            <w:r>
              <w:rPr>
                <w:rFonts w:ascii="Times New Roman" w:hAnsi="Times New Roman"/>
                <w:sz w:val="20"/>
              </w:rPr>
              <w:t>L008</w:t>
            </w:r>
          </w:p>
        </w:tc>
        <w:tc>
          <w:tcPr>
            <w:tcW w:type="dxa" w:w="3009"/>
          </w:tcPr>
          <w:p>
            <w:r/>
            <w:r>
              <w:rPr>
                <w:rFonts w:ascii="Times New Roman" w:hAnsi="Times New Roman"/>
                <w:sz w:val="20"/>
              </w:rPr>
              <w:t>General anaesthesia (closed-circuit)</w:t>
            </w:r>
          </w:p>
        </w:tc>
        <w:tc>
          <w:tcPr>
            <w:tcW w:type="dxa" w:w="3009"/>
          </w:tcPr>
          <w:p>
            <w:r/>
            <w:r>
              <w:rPr>
                <w:rFonts w:ascii="Times New Roman" w:hAnsi="Times New Roman"/>
                <w:sz w:val="20"/>
              </w:rPr>
              <w:t>Primary indicator of overall general anaesthesia volume</w:t>
            </w:r>
          </w:p>
        </w:tc>
      </w:tr>
      <w:tr>
        <w:tc>
          <w:tcPr>
            <w:tcW w:type="dxa" w:w="3009"/>
          </w:tcPr>
          <w:p>
            <w:r/>
            <w:r>
              <w:rPr>
                <w:rFonts w:ascii="Times New Roman" w:hAnsi="Times New Roman"/>
                <w:sz w:val="20"/>
              </w:rPr>
              <w:t>L004</w:t>
            </w:r>
          </w:p>
        </w:tc>
        <w:tc>
          <w:tcPr>
            <w:tcW w:type="dxa" w:w="3009"/>
          </w:tcPr>
          <w:p>
            <w:r/>
            <w:r>
              <w:rPr>
                <w:rFonts w:ascii="Times New Roman" w:hAnsi="Times New Roman"/>
                <w:sz w:val="20"/>
              </w:rPr>
              <w:t>Spinal anaesthesia</w:t>
            </w:r>
          </w:p>
        </w:tc>
        <w:tc>
          <w:tcPr>
            <w:tcW w:type="dxa" w:w="3009"/>
          </w:tcPr>
          <w:p>
            <w:r/>
            <w:r>
              <w:rPr>
                <w:rFonts w:ascii="Times New Roman" w:hAnsi="Times New Roman"/>
                <w:sz w:val="20"/>
              </w:rPr>
              <w:t>Regional technique</w:t>
            </w:r>
          </w:p>
        </w:tc>
      </w:tr>
      <w:tr>
        <w:tc>
          <w:tcPr>
            <w:tcW w:type="dxa" w:w="3009"/>
          </w:tcPr>
          <w:p>
            <w:r/>
            <w:r>
              <w:rPr>
                <w:rFonts w:ascii="Times New Roman" w:hAnsi="Times New Roman"/>
                <w:sz w:val="20"/>
              </w:rPr>
              <w:t>L002</w:t>
            </w:r>
          </w:p>
        </w:tc>
        <w:tc>
          <w:tcPr>
            <w:tcW w:type="dxa" w:w="3009"/>
          </w:tcPr>
          <w:p>
            <w:r/>
            <w:r>
              <w:rPr>
                <w:rFonts w:ascii="Times New Roman" w:hAnsi="Times New Roman"/>
                <w:sz w:val="20"/>
              </w:rPr>
              <w:t>Epidural anaesthesia as main technique</w:t>
            </w:r>
          </w:p>
        </w:tc>
        <w:tc>
          <w:tcPr>
            <w:tcW w:type="dxa" w:w="3009"/>
          </w:tcPr>
          <w:p>
            <w:r/>
            <w:r>
              <w:rPr>
                <w:rFonts w:ascii="Times New Roman" w:hAnsi="Times New Roman"/>
                <w:sz w:val="20"/>
              </w:rPr>
              <w:t>Regional technique claimed as the primary anaesthetic</w:t>
            </w:r>
          </w:p>
        </w:tc>
      </w:tr>
      <w:tr>
        <w:tc>
          <w:tcPr>
            <w:tcW w:type="dxa" w:w="3009"/>
          </w:tcPr>
          <w:p>
            <w:r/>
            <w:r>
              <w:rPr>
                <w:rFonts w:ascii="Times New Roman" w:hAnsi="Times New Roman"/>
                <w:sz w:val="20"/>
              </w:rPr>
              <w:t>L003</w:t>
            </w:r>
          </w:p>
        </w:tc>
        <w:tc>
          <w:tcPr>
            <w:tcW w:type="dxa" w:w="3009"/>
          </w:tcPr>
          <w:p>
            <w:r/>
            <w:r>
              <w:rPr>
                <w:rFonts w:ascii="Times New Roman" w:hAnsi="Times New Roman"/>
                <w:sz w:val="20"/>
              </w:rPr>
              <w:t>Continuous epidural infusion</w:t>
            </w:r>
          </w:p>
        </w:tc>
        <w:tc>
          <w:tcPr>
            <w:tcW w:type="dxa" w:w="3009"/>
          </w:tcPr>
          <w:p>
            <w:r/>
            <w:r>
              <w:rPr>
                <w:rFonts w:ascii="Times New Roman" w:hAnsi="Times New Roman"/>
                <w:sz w:val="20"/>
              </w:rPr>
              <w:t>Regional technique largely billed as adjunct to general anaesthesia</w:t>
            </w:r>
          </w:p>
        </w:tc>
      </w:tr>
      <w:tr>
        <w:tc>
          <w:tcPr>
            <w:tcW w:type="dxa" w:w="3009"/>
          </w:tcPr>
          <w:p>
            <w:r/>
            <w:r>
              <w:rPr>
                <w:rFonts w:ascii="Times New Roman" w:hAnsi="Times New Roman"/>
                <w:sz w:val="20"/>
              </w:rPr>
              <w:t>L009</w:t>
            </w:r>
          </w:p>
        </w:tc>
        <w:tc>
          <w:tcPr>
            <w:tcW w:type="dxa" w:w="3009"/>
          </w:tcPr>
          <w:p>
            <w:r/>
            <w:r>
              <w:rPr>
                <w:rFonts w:ascii="Times New Roman" w:hAnsi="Times New Roman"/>
                <w:sz w:val="20"/>
              </w:rPr>
              <w:t>Anaesthesia management fee I</w:t>
            </w:r>
          </w:p>
        </w:tc>
        <w:tc>
          <w:tcPr>
            <w:tcW w:type="dxa" w:w="3009"/>
          </w:tcPr>
          <w:p>
            <w:r/>
            <w:r>
              <w:rPr>
                <w:rFonts w:ascii="Times New Roman" w:hAnsi="Times New Roman"/>
                <w:sz w:val="20"/>
              </w:rPr>
              <w:t>Proxy for specialist anaesthesiologist staffing</w:t>
            </w:r>
          </w:p>
        </w:tc>
      </w:tr>
      <w:tr>
        <w:tc>
          <w:tcPr>
            <w:tcW w:type="dxa" w:w="3009"/>
          </w:tcPr>
          <w:p>
            <w:r/>
            <w:r>
              <w:rPr>
                <w:rFonts w:ascii="Times New Roman" w:hAnsi="Times New Roman"/>
                <w:sz w:val="20"/>
              </w:rPr>
              <w:t>L100</w:t>
            </w:r>
          </w:p>
        </w:tc>
        <w:tc>
          <w:tcPr>
            <w:tcW w:type="dxa" w:w="3009"/>
          </w:tcPr>
          <w:p>
            <w:r/>
            <w:r>
              <w:rPr>
                <w:rFonts w:ascii="Times New Roman" w:hAnsi="Times New Roman"/>
                <w:sz w:val="20"/>
              </w:rPr>
              <w:t>Nerve block, inpatient</w:t>
            </w:r>
          </w:p>
        </w:tc>
        <w:tc>
          <w:tcPr>
            <w:tcW w:type="dxa" w:w="3009"/>
          </w:tcPr>
          <w:p>
            <w:r/>
            <w:r>
              <w:rPr>
                <w:rFonts w:ascii="Times New Roman" w:hAnsi="Times New Roman"/>
                <w:sz w:val="20"/>
              </w:rPr>
              <w:t>Indicator of pain-clinic activity</w:t>
            </w:r>
          </w:p>
        </w:tc>
      </w:tr>
    </w:tbl>
    <w:p>
      <w:pPr>
        <w:spacing w:before="120" w:after="240"/>
      </w:pPr>
      <w:r>
        <w:rPr>
          <w:rFonts w:ascii="Times New Roman" w:hAnsi="Times New Roman"/>
          <w:i/>
          <w:sz w:val="24"/>
        </w:rPr>
        <w:t>Source: Japanese fee schedule (shinryo houshu tensuhyo), fiscal year 2022. Standardised claim ratios (national average = 100) were computed for each code by indirect age- and sex-standardisation.</w:t>
      </w:r>
    </w:p>
    <w:p>
      <w:pPr>
        <w:spacing w:before="160" w:after="80"/>
      </w:pPr>
      <w:r>
        <w:rPr>
          <w:rFonts w:ascii="Times New Roman" w:hAnsi="Times New Roman"/>
          <w:b/>
          <w:sz w:val="24"/>
        </w:rPr>
        <w:t>2.5 Statistical analysis</w:t>
      </w:r>
    </w:p>
    <w:p>
      <w:r>
        <w:rPr>
          <w:rFonts w:ascii="Times New Roman" w:hAnsi="Times New Roman"/>
          <w:sz w:val="24"/>
        </w:rPr>
        <w:t xml:space="preserve">We computed descriptive statistics for each standardised claim ratio (mean, standard deviation, median, interquartile range, minimum, maximum and coefficient of variation). To account for the nesting of secondary medical areas within prefectures, we fitted multilevel linear models with prefecture random intercepts and a binary fixed effect for university hospital presence, using restricted maximum likelihood. The null model intraclass correlation coefficient quantified the proportion of variance between prefectures, and the marginal </w:t>
      </w:r>
      <m:oMath>
        <m:sSup>
          <m:e>
            <m:r>
              <m:t xml:space="preserve">R</m:t>
            </m:r>
          </m:e>
          <m:sup>
            <m:r>
              <m:t xml:space="preserve">2</m:t>
            </m:r>
          </m:sup>
        </m:sSup>
      </m:oMath>
      <w:r>
        <w:rPr>
          <w:rFonts w:ascii="Times New Roman" w:hAnsi="Times New Roman"/>
          <w:sz w:val="24"/>
        </w:rPr>
        <w:t xml:space="preserve"> quantified the proportional reduction in total variance after adding the university-hospital fixed effect. We decomposed within-prefecture variance into components attributable to university-hospital presence and residual variation. We conducted three sensitivity analyses to test the audit hypothesis: within-prefecture paired comparisons of university and non-university areas; a covariate-adjusted model adding the natural logarithm of population density and the anaesthesiologist share of all physicians; and an empirical Bayes shrinkage stress-test of area-level ratios toward prefecture means. All analyses were performed in Python 3.10 using NumPy, Pandas, SciPy and Statsmodels.</w:t>
      </w:r>
    </w:p>
    <w:p>
      <w:pPr>
        <w:spacing w:before="240" w:after="120"/>
      </w:pPr>
      <w:r>
        <w:rPr>
          <w:rFonts w:ascii="Times New Roman" w:hAnsi="Times New Roman"/>
          <w:b/>
          <w:sz w:val="26"/>
        </w:rPr>
        <w:t>3. RESULTS</w:t>
      </w:r>
    </w:p>
    <w:p>
      <w:pPr>
        <w:spacing w:before="160" w:after="80"/>
      </w:pPr>
      <w:r>
        <w:rPr>
          <w:rFonts w:ascii="Times New Roman" w:hAnsi="Times New Roman"/>
          <w:b/>
          <w:sz w:val="24"/>
        </w:rPr>
        <w:t>3.1 Study population and variation in anaesthesia practice</w:t>
      </w:r>
    </w:p>
    <w:p>
      <w:r>
        <w:rPr>
          <w:rFonts w:ascii="Times New Roman" w:hAnsi="Times New Roman"/>
          <w:sz w:val="24"/>
        </w:rPr>
        <w:t>The 335 secondary medical areas were distributed across 47 prefectures (median 7 areas per prefecture, range 3 to 21); 64 areas (19.1%) contained at least one university hospital. Standardised claim ratios for general anaesthesia were available for 334 of 335 areas; ratios for epidural anaesthesia were available for 307 areas, with 28 areas masked owing to low volume. Substantial variation was observed across all codes (Table 2). General anaesthesia ratios ranged from 2.3 to 435.7 (coefficient of variation 53.7%), a 189.4-fold difference. Epidural anaesthesia showed the greatest relative variation (coefficient of variation 87.2%); continuous epidural infusion 65.0% and spinal anaesthesia 56.8%. The geographic distribution of ratios is shown in Figure 1.</w:t>
      </w:r>
    </w:p>
    <w:p>
      <w:pPr>
        <w:spacing w:before="240" w:after="120"/>
      </w:pPr>
      <w:r>
        <w:rPr>
          <w:rFonts w:ascii="Times New Roman" w:hAnsi="Times New Roman"/>
          <w:b/>
          <w:sz w:val="24"/>
        </w:rPr>
        <w:t>Table 2. Distribution of standardised claim ratios across 335 secondary medical areas (national average = 100), fiscal year 2022.</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Times New Roman" w:hAnsi="Times New Roman"/>
                <w:b/>
                <w:sz w:val="20"/>
              </w:rPr>
              <w:t>Code</w:t>
            </w:r>
          </w:p>
        </w:tc>
        <w:tc>
          <w:tcPr>
            <w:tcW w:type="dxa" w:w="1289"/>
          </w:tcPr>
          <w:p>
            <w:r/>
            <w:r>
              <w:rPr>
                <w:rFonts w:ascii="Times New Roman" w:hAnsi="Times New Roman"/>
                <w:b/>
                <w:sz w:val="20"/>
              </w:rPr>
              <w:t>n</w:t>
            </w:r>
          </w:p>
        </w:tc>
        <w:tc>
          <w:tcPr>
            <w:tcW w:type="dxa" w:w="1289"/>
          </w:tcPr>
          <w:p>
            <w:r/>
            <w:r>
              <w:rPr>
                <w:rFonts w:ascii="Times New Roman" w:hAnsi="Times New Roman"/>
                <w:b/>
                <w:sz w:val="20"/>
              </w:rPr>
              <w:t>Mean (SD)</w:t>
            </w:r>
          </w:p>
        </w:tc>
        <w:tc>
          <w:tcPr>
            <w:tcW w:type="dxa" w:w="1289"/>
          </w:tcPr>
          <w:p>
            <w:r/>
            <w:r>
              <w:rPr>
                <w:rFonts w:ascii="Times New Roman" w:hAnsi="Times New Roman"/>
                <w:b/>
                <w:sz w:val="20"/>
              </w:rPr>
              <w:t>Median (IQR)</w:t>
            </w:r>
          </w:p>
        </w:tc>
        <w:tc>
          <w:tcPr>
            <w:tcW w:type="dxa" w:w="1289"/>
          </w:tcPr>
          <w:p>
            <w:r/>
            <w:r>
              <w:rPr>
                <w:rFonts w:ascii="Times New Roman" w:hAnsi="Times New Roman"/>
                <w:b/>
                <w:sz w:val="20"/>
              </w:rPr>
              <w:t>Min</w:t>
            </w:r>
          </w:p>
        </w:tc>
        <w:tc>
          <w:tcPr>
            <w:tcW w:type="dxa" w:w="1289"/>
          </w:tcPr>
          <w:p>
            <w:r/>
            <w:r>
              <w:rPr>
                <w:rFonts w:ascii="Times New Roman" w:hAnsi="Times New Roman"/>
                <w:b/>
                <w:sz w:val="20"/>
              </w:rPr>
              <w:t>Max</w:t>
            </w:r>
          </w:p>
        </w:tc>
        <w:tc>
          <w:tcPr>
            <w:tcW w:type="dxa" w:w="1289"/>
          </w:tcPr>
          <w:p>
            <w:r/>
            <w:r>
              <w:rPr>
                <w:rFonts w:ascii="Times New Roman" w:hAnsi="Times New Roman"/>
                <w:b/>
                <w:sz w:val="20"/>
              </w:rPr>
              <w:t>CV (%)</w:t>
            </w:r>
          </w:p>
        </w:tc>
      </w:tr>
      <w:tr>
        <w:tc>
          <w:tcPr>
            <w:tcW w:type="dxa" w:w="1289"/>
          </w:tcPr>
          <w:p>
            <w:r/>
            <w:r>
              <w:rPr>
                <w:rFonts w:ascii="Times New Roman" w:hAnsi="Times New Roman"/>
                <w:sz w:val="20"/>
              </w:rPr>
              <w:t>L008</w:t>
            </w:r>
          </w:p>
        </w:tc>
        <w:tc>
          <w:tcPr>
            <w:tcW w:type="dxa" w:w="1289"/>
          </w:tcPr>
          <w:p>
            <w:r/>
            <w:r>
              <w:rPr>
                <w:rFonts w:ascii="Times New Roman" w:hAnsi="Times New Roman"/>
                <w:sz w:val="20"/>
              </w:rPr>
              <w:t>334</w:t>
            </w:r>
          </w:p>
        </w:tc>
        <w:tc>
          <w:tcPr>
            <w:tcW w:type="dxa" w:w="1289"/>
          </w:tcPr>
          <w:p>
            <w:r/>
            <w:r>
              <w:rPr>
                <w:rFonts w:ascii="Times New Roman" w:hAnsi="Times New Roman"/>
                <w:sz w:val="20"/>
              </w:rPr>
              <w:t>79.7 (42.8)</w:t>
            </w:r>
          </w:p>
        </w:tc>
        <w:tc>
          <w:tcPr>
            <w:tcW w:type="dxa" w:w="1289"/>
          </w:tcPr>
          <w:p>
            <w:r/>
            <w:r>
              <w:rPr>
                <w:rFonts w:ascii="Times New Roman" w:hAnsi="Times New Roman"/>
                <w:sz w:val="20"/>
              </w:rPr>
              <w:t>73.5 (50.0-103.0)</w:t>
            </w:r>
          </w:p>
        </w:tc>
        <w:tc>
          <w:tcPr>
            <w:tcW w:type="dxa" w:w="1289"/>
          </w:tcPr>
          <w:p>
            <w:r/>
            <w:r>
              <w:rPr>
                <w:rFonts w:ascii="Times New Roman" w:hAnsi="Times New Roman"/>
                <w:sz w:val="20"/>
              </w:rPr>
              <w:t>2.3</w:t>
            </w:r>
          </w:p>
        </w:tc>
        <w:tc>
          <w:tcPr>
            <w:tcW w:type="dxa" w:w="1289"/>
          </w:tcPr>
          <w:p>
            <w:r/>
            <w:r>
              <w:rPr>
                <w:rFonts w:ascii="Times New Roman" w:hAnsi="Times New Roman"/>
                <w:sz w:val="20"/>
              </w:rPr>
              <w:t>435.7</w:t>
            </w:r>
          </w:p>
        </w:tc>
        <w:tc>
          <w:tcPr>
            <w:tcW w:type="dxa" w:w="1289"/>
          </w:tcPr>
          <w:p>
            <w:r/>
            <w:r>
              <w:rPr>
                <w:rFonts w:ascii="Times New Roman" w:hAnsi="Times New Roman"/>
                <w:sz w:val="20"/>
              </w:rPr>
              <w:t>53.7</w:t>
            </w:r>
          </w:p>
        </w:tc>
      </w:tr>
      <w:tr>
        <w:tc>
          <w:tcPr>
            <w:tcW w:type="dxa" w:w="1289"/>
          </w:tcPr>
          <w:p>
            <w:r/>
            <w:r>
              <w:rPr>
                <w:rFonts w:ascii="Times New Roman" w:hAnsi="Times New Roman"/>
                <w:sz w:val="20"/>
              </w:rPr>
              <w:t>L002</w:t>
            </w:r>
          </w:p>
        </w:tc>
        <w:tc>
          <w:tcPr>
            <w:tcW w:type="dxa" w:w="1289"/>
          </w:tcPr>
          <w:p>
            <w:r/>
            <w:r>
              <w:rPr>
                <w:rFonts w:ascii="Times New Roman" w:hAnsi="Times New Roman"/>
                <w:sz w:val="20"/>
              </w:rPr>
              <w:t>307</w:t>
            </w:r>
          </w:p>
        </w:tc>
        <w:tc>
          <w:tcPr>
            <w:tcW w:type="dxa" w:w="1289"/>
          </w:tcPr>
          <w:p>
            <w:r/>
            <w:r>
              <w:rPr>
                <w:rFonts w:ascii="Times New Roman" w:hAnsi="Times New Roman"/>
                <w:sz w:val="20"/>
              </w:rPr>
              <w:t>95.6 (83.4)</w:t>
            </w:r>
          </w:p>
        </w:tc>
        <w:tc>
          <w:tcPr>
            <w:tcW w:type="dxa" w:w="1289"/>
          </w:tcPr>
          <w:p>
            <w:r/>
            <w:r>
              <w:rPr>
                <w:rFonts w:ascii="Times New Roman" w:hAnsi="Times New Roman"/>
                <w:sz w:val="20"/>
              </w:rPr>
              <w:t>76.6 (31.2-133.4)</w:t>
            </w:r>
          </w:p>
        </w:tc>
        <w:tc>
          <w:tcPr>
            <w:tcW w:type="dxa" w:w="1289"/>
          </w:tcPr>
          <w:p>
            <w:r/>
            <w:r>
              <w:rPr>
                <w:rFonts w:ascii="Times New Roman" w:hAnsi="Times New Roman"/>
                <w:sz w:val="20"/>
              </w:rPr>
              <w:t>0.9</w:t>
            </w:r>
          </w:p>
        </w:tc>
        <w:tc>
          <w:tcPr>
            <w:tcW w:type="dxa" w:w="1289"/>
          </w:tcPr>
          <w:p>
            <w:r/>
            <w:r>
              <w:rPr>
                <w:rFonts w:ascii="Times New Roman" w:hAnsi="Times New Roman"/>
                <w:sz w:val="20"/>
              </w:rPr>
              <w:t>519.1</w:t>
            </w:r>
          </w:p>
        </w:tc>
        <w:tc>
          <w:tcPr>
            <w:tcW w:type="dxa" w:w="1289"/>
          </w:tcPr>
          <w:p>
            <w:r/>
            <w:r>
              <w:rPr>
                <w:rFonts w:ascii="Times New Roman" w:hAnsi="Times New Roman"/>
                <w:sz w:val="20"/>
              </w:rPr>
              <w:t>87.2</w:t>
            </w:r>
          </w:p>
        </w:tc>
      </w:tr>
      <w:tr>
        <w:tc>
          <w:tcPr>
            <w:tcW w:type="dxa" w:w="1289"/>
          </w:tcPr>
          <w:p>
            <w:r/>
            <w:r>
              <w:rPr>
                <w:rFonts w:ascii="Times New Roman" w:hAnsi="Times New Roman"/>
                <w:sz w:val="20"/>
              </w:rPr>
              <w:t>L003</w:t>
            </w:r>
          </w:p>
        </w:tc>
        <w:tc>
          <w:tcPr>
            <w:tcW w:type="dxa" w:w="1289"/>
          </w:tcPr>
          <w:p>
            <w:r/>
            <w:r>
              <w:rPr>
                <w:rFonts w:ascii="Times New Roman" w:hAnsi="Times New Roman"/>
                <w:sz w:val="20"/>
              </w:rPr>
              <w:t>331</w:t>
            </w:r>
          </w:p>
        </w:tc>
        <w:tc>
          <w:tcPr>
            <w:tcW w:type="dxa" w:w="1289"/>
          </w:tcPr>
          <w:p>
            <w:r/>
            <w:r>
              <w:rPr>
                <w:rFonts w:ascii="Times New Roman" w:hAnsi="Times New Roman"/>
                <w:sz w:val="20"/>
              </w:rPr>
              <w:t>83.5 (54.3)</w:t>
            </w:r>
          </w:p>
        </w:tc>
        <w:tc>
          <w:tcPr>
            <w:tcW w:type="dxa" w:w="1289"/>
          </w:tcPr>
          <w:p>
            <w:r/>
            <w:r>
              <w:rPr>
                <w:rFonts w:ascii="Times New Roman" w:hAnsi="Times New Roman"/>
                <w:sz w:val="20"/>
              </w:rPr>
              <w:t>73.4 (45.0-117.0)</w:t>
            </w:r>
          </w:p>
        </w:tc>
        <w:tc>
          <w:tcPr>
            <w:tcW w:type="dxa" w:w="1289"/>
          </w:tcPr>
          <w:p>
            <w:r/>
            <w:r>
              <w:rPr>
                <w:rFonts w:ascii="Times New Roman" w:hAnsi="Times New Roman"/>
                <w:sz w:val="20"/>
              </w:rPr>
              <w:t>0.4</w:t>
            </w:r>
          </w:p>
        </w:tc>
        <w:tc>
          <w:tcPr>
            <w:tcW w:type="dxa" w:w="1289"/>
          </w:tcPr>
          <w:p>
            <w:r/>
            <w:r>
              <w:rPr>
                <w:rFonts w:ascii="Times New Roman" w:hAnsi="Times New Roman"/>
                <w:sz w:val="20"/>
              </w:rPr>
              <w:t>443.0</w:t>
            </w:r>
          </w:p>
        </w:tc>
        <w:tc>
          <w:tcPr>
            <w:tcW w:type="dxa" w:w="1289"/>
          </w:tcPr>
          <w:p>
            <w:r/>
            <w:r>
              <w:rPr>
                <w:rFonts w:ascii="Times New Roman" w:hAnsi="Times New Roman"/>
                <w:sz w:val="20"/>
              </w:rPr>
              <w:t>65.0</w:t>
            </w:r>
          </w:p>
        </w:tc>
      </w:tr>
      <w:tr>
        <w:tc>
          <w:tcPr>
            <w:tcW w:type="dxa" w:w="1289"/>
          </w:tcPr>
          <w:p>
            <w:r/>
            <w:r>
              <w:rPr>
                <w:rFonts w:ascii="Times New Roman" w:hAnsi="Times New Roman"/>
                <w:sz w:val="20"/>
              </w:rPr>
              <w:t>L004</w:t>
            </w:r>
          </w:p>
        </w:tc>
        <w:tc>
          <w:tcPr>
            <w:tcW w:type="dxa" w:w="1289"/>
          </w:tcPr>
          <w:p>
            <w:r/>
            <w:r>
              <w:rPr>
                <w:rFonts w:ascii="Times New Roman" w:hAnsi="Times New Roman"/>
                <w:sz w:val="20"/>
              </w:rPr>
              <w:t>334</w:t>
            </w:r>
          </w:p>
        </w:tc>
        <w:tc>
          <w:tcPr>
            <w:tcW w:type="dxa" w:w="1289"/>
          </w:tcPr>
          <w:p>
            <w:r/>
            <w:r>
              <w:rPr>
                <w:rFonts w:ascii="Times New Roman" w:hAnsi="Times New Roman"/>
                <w:sz w:val="20"/>
              </w:rPr>
              <w:t>93.8 (53.3)</w:t>
            </w:r>
          </w:p>
        </w:tc>
        <w:tc>
          <w:tcPr>
            <w:tcW w:type="dxa" w:w="1289"/>
          </w:tcPr>
          <w:p>
            <w:r/>
            <w:r>
              <w:rPr>
                <w:rFonts w:ascii="Times New Roman" w:hAnsi="Times New Roman"/>
                <w:sz w:val="20"/>
              </w:rPr>
              <w:t>84.6 (55.8-127.4)</w:t>
            </w:r>
          </w:p>
        </w:tc>
        <w:tc>
          <w:tcPr>
            <w:tcW w:type="dxa" w:w="1289"/>
          </w:tcPr>
          <w:p>
            <w:r/>
            <w:r>
              <w:rPr>
                <w:rFonts w:ascii="Times New Roman" w:hAnsi="Times New Roman"/>
                <w:sz w:val="20"/>
              </w:rPr>
              <w:t>1.0</w:t>
            </w:r>
          </w:p>
        </w:tc>
        <w:tc>
          <w:tcPr>
            <w:tcW w:type="dxa" w:w="1289"/>
          </w:tcPr>
          <w:p>
            <w:r/>
            <w:r>
              <w:rPr>
                <w:rFonts w:ascii="Times New Roman" w:hAnsi="Times New Roman"/>
                <w:sz w:val="20"/>
              </w:rPr>
              <w:t>346.5</w:t>
            </w:r>
          </w:p>
        </w:tc>
        <w:tc>
          <w:tcPr>
            <w:tcW w:type="dxa" w:w="1289"/>
          </w:tcPr>
          <w:p>
            <w:r/>
            <w:r>
              <w:rPr>
                <w:rFonts w:ascii="Times New Roman" w:hAnsi="Times New Roman"/>
                <w:sz w:val="20"/>
              </w:rPr>
              <w:t>56.8</w:t>
            </w:r>
          </w:p>
        </w:tc>
      </w:tr>
      <w:tr>
        <w:tc>
          <w:tcPr>
            <w:tcW w:type="dxa" w:w="1289"/>
          </w:tcPr>
          <w:p>
            <w:r/>
            <w:r>
              <w:rPr>
                <w:rFonts w:ascii="Times New Roman" w:hAnsi="Times New Roman"/>
                <w:sz w:val="20"/>
              </w:rPr>
              <w:t>L009</w:t>
            </w:r>
          </w:p>
        </w:tc>
        <w:tc>
          <w:tcPr>
            <w:tcW w:type="dxa" w:w="1289"/>
          </w:tcPr>
          <w:p>
            <w:r/>
            <w:r>
              <w:rPr>
                <w:rFonts w:ascii="Times New Roman" w:hAnsi="Times New Roman"/>
                <w:sz w:val="20"/>
              </w:rPr>
              <w:t>314</w:t>
            </w:r>
          </w:p>
        </w:tc>
        <w:tc>
          <w:tcPr>
            <w:tcW w:type="dxa" w:w="1289"/>
          </w:tcPr>
          <w:p>
            <w:r/>
            <w:r>
              <w:rPr>
                <w:rFonts w:ascii="Times New Roman" w:hAnsi="Times New Roman"/>
                <w:sz w:val="20"/>
              </w:rPr>
              <w:t>87.3 (49.9)</w:t>
            </w:r>
          </w:p>
        </w:tc>
        <w:tc>
          <w:tcPr>
            <w:tcW w:type="dxa" w:w="1289"/>
          </w:tcPr>
          <w:p>
            <w:r/>
            <w:r>
              <w:rPr>
                <w:rFonts w:ascii="Times New Roman" w:hAnsi="Times New Roman"/>
                <w:sz w:val="20"/>
              </w:rPr>
              <w:t>78.9 (51.4-116.5)</w:t>
            </w:r>
          </w:p>
        </w:tc>
        <w:tc>
          <w:tcPr>
            <w:tcW w:type="dxa" w:w="1289"/>
          </w:tcPr>
          <w:p>
            <w:r/>
            <w:r>
              <w:rPr>
                <w:rFonts w:ascii="Times New Roman" w:hAnsi="Times New Roman"/>
                <w:sz w:val="20"/>
              </w:rPr>
              <w:t>0.1</w:t>
            </w:r>
          </w:p>
        </w:tc>
        <w:tc>
          <w:tcPr>
            <w:tcW w:type="dxa" w:w="1289"/>
          </w:tcPr>
          <w:p>
            <w:r/>
            <w:r>
              <w:rPr>
                <w:rFonts w:ascii="Times New Roman" w:hAnsi="Times New Roman"/>
                <w:sz w:val="20"/>
              </w:rPr>
              <w:t>392.2</w:t>
            </w:r>
          </w:p>
        </w:tc>
        <w:tc>
          <w:tcPr>
            <w:tcW w:type="dxa" w:w="1289"/>
          </w:tcPr>
          <w:p>
            <w:r/>
            <w:r>
              <w:rPr>
                <w:rFonts w:ascii="Times New Roman" w:hAnsi="Times New Roman"/>
                <w:sz w:val="20"/>
              </w:rPr>
              <w:t>57.2</w:t>
            </w:r>
          </w:p>
        </w:tc>
      </w:tr>
      <w:tr>
        <w:tc>
          <w:tcPr>
            <w:tcW w:type="dxa" w:w="1289"/>
          </w:tcPr>
          <w:p>
            <w:r/>
            <w:r>
              <w:rPr>
                <w:rFonts w:ascii="Times New Roman" w:hAnsi="Times New Roman"/>
                <w:sz w:val="20"/>
              </w:rPr>
              <w:t>L100</w:t>
            </w:r>
          </w:p>
        </w:tc>
        <w:tc>
          <w:tcPr>
            <w:tcW w:type="dxa" w:w="1289"/>
          </w:tcPr>
          <w:p>
            <w:r/>
            <w:r>
              <w:rPr>
                <w:rFonts w:ascii="Times New Roman" w:hAnsi="Times New Roman"/>
                <w:sz w:val="20"/>
              </w:rPr>
              <w:t>335</w:t>
            </w:r>
          </w:p>
        </w:tc>
        <w:tc>
          <w:tcPr>
            <w:tcW w:type="dxa" w:w="1289"/>
          </w:tcPr>
          <w:p>
            <w:r/>
            <w:r>
              <w:rPr>
                <w:rFonts w:ascii="Times New Roman" w:hAnsi="Times New Roman"/>
                <w:sz w:val="20"/>
              </w:rPr>
              <w:t>99.8 (77.1)</w:t>
            </w:r>
          </w:p>
        </w:tc>
        <w:tc>
          <w:tcPr>
            <w:tcW w:type="dxa" w:w="1289"/>
          </w:tcPr>
          <w:p>
            <w:r/>
            <w:r>
              <w:rPr>
                <w:rFonts w:ascii="Times New Roman" w:hAnsi="Times New Roman"/>
                <w:sz w:val="20"/>
              </w:rPr>
              <w:t>77.8 (43.7-125.9)</w:t>
            </w:r>
          </w:p>
        </w:tc>
        <w:tc>
          <w:tcPr>
            <w:tcW w:type="dxa" w:w="1289"/>
          </w:tcPr>
          <w:p>
            <w:r/>
            <w:r>
              <w:rPr>
                <w:rFonts w:ascii="Times New Roman" w:hAnsi="Times New Roman"/>
                <w:sz w:val="20"/>
              </w:rPr>
              <w:t>3.0</w:t>
            </w:r>
          </w:p>
        </w:tc>
        <w:tc>
          <w:tcPr>
            <w:tcW w:type="dxa" w:w="1289"/>
          </w:tcPr>
          <w:p>
            <w:r/>
            <w:r>
              <w:rPr>
                <w:rFonts w:ascii="Times New Roman" w:hAnsi="Times New Roman"/>
                <w:sz w:val="20"/>
              </w:rPr>
              <w:t>433.3</w:t>
            </w:r>
          </w:p>
        </w:tc>
        <w:tc>
          <w:tcPr>
            <w:tcW w:type="dxa" w:w="1289"/>
          </w:tcPr>
          <w:p>
            <w:r/>
            <w:r>
              <w:rPr>
                <w:rFonts w:ascii="Times New Roman" w:hAnsi="Times New Roman"/>
                <w:sz w:val="20"/>
              </w:rPr>
              <w:t>77.3</w:t>
            </w:r>
          </w:p>
        </w:tc>
      </w:tr>
    </w:tbl>
    <w:p>
      <w:pPr>
        <w:spacing w:before="120" w:after="240"/>
      </w:pPr>
      <w:r>
        <w:rPr>
          <w:rFonts w:ascii="Times New Roman" w:hAnsi="Times New Roman"/>
          <w:i/>
          <w:sz w:val="24"/>
        </w:rPr>
        <w:t>SD, standard deviation; IQR, interquartile range; CV, coefficient of variation. Areas with low claim volume are masked by the data provider and appear as missing values; the n column reflects the number of secondary medical areas with non-missing values for each code.</w:t>
      </w:r>
    </w:p>
    <w:p>
      <w:pPr>
        <w:spacing w:after="0"/>
      </w:pPr>
    </w:p>
    <w:p>
      <w:pPr>
        <w:spacing w:before="160" w:after="80"/>
      </w:pPr>
      <w:r>
        <w:rPr>
          <w:rFonts w:ascii="Times New Roman" w:hAnsi="Times New Roman"/>
          <w:b/>
          <w:sz w:val="24"/>
        </w:rPr>
        <w:t>3.2 Multilevel model and university hospital effect</w:t>
      </w:r>
    </w:p>
    <w:p>
      <w:r>
        <w:rPr>
          <w:rFonts w:ascii="Times New Roman" w:hAnsi="Times New Roman"/>
          <w:sz w:val="24"/>
        </w:rPr>
        <w:t>The null multilevel model showed that only 0.058 of general anaesthesia variance was attributable to the prefecture level (intraclass correlation coefficient 0.058), indicating that 85.5% occurred within prefectures where audit policy is uniform. Spinal anaesthesia showed stronger prefecture-level clustering (intraclass correlation coefficient 0.343), consistent with a greater role of prefectural factors for that code. Adding university hospital presence as a fixed effect produced the largest improvement for general anaesthesia (</w:t>
      </w:r>
      <m:oMath>
        <m:r>
          <m:t xml:space="preserve">marginal </m:t>
        </m:r>
        <m:sSup>
          <m:e>
            <m:r>
              <m:t xml:space="preserve">R</m:t>
            </m:r>
          </m:e>
          <m:sup>
            <m:r>
              <m:t xml:space="preserve">2</m:t>
            </m:r>
          </m:sup>
        </m:sSup>
        <m:r>
          <m:t xml:space="preserve"> </m:t>
        </m:r>
        <m:r>
          <m:t xml:space="preserve">0.358</m:t>
        </m:r>
      </m:oMath>
      <w:r>
        <w:rPr>
          <w:rFonts w:ascii="Times New Roman" w:hAnsi="Times New Roman"/>
          <w:sz w:val="24"/>
        </w:rPr>
        <w:t xml:space="preserve">; </w:t>
      </w:r>
      <m:oMath>
        <m:r>
          <m:t xml:space="preserve">β </m:t>
        </m:r>
        <m:r>
          <m:t xml:space="preserve">= </m:t>
        </m:r>
        <m:r>
          <m:t xml:space="preserve">64.1</m:t>
        </m:r>
        <m:r>
          <m:t xml:space="preserve">, </m:t>
        </m:r>
        <m:r>
          <m:t xml:space="preserve">95% confidence interval </m:t>
        </m:r>
        <m:r>
          <m:t xml:space="preserve">54.8 </m:t>
        </m:r>
        <m:r>
          <m:t xml:space="preserve">to </m:t>
        </m:r>
        <m:r>
          <m:t xml:space="preserve">73.4</m:t>
        </m:r>
      </m:oMath>
      <w:r>
        <w:rPr>
          <w:rFonts w:ascii="Times New Roman" w:hAnsi="Times New Roman"/>
          <w:sz w:val="24"/>
        </w:rPr>
        <w:t xml:space="preserve">) and was statistically significant for every code (all </w:t>
      </w:r>
      <m:oMath>
        <m:r>
          <m:t xml:space="preserve">P </m:t>
        </m:r>
        <m:r>
          <m:t xml:space="preserve">&lt;</m:t>
        </m:r>
        <m:r>
          <m:t xml:space="preserve">0.001</m:t>
        </m:r>
      </m:oMath>
      <w:r>
        <w:rPr>
          <w:rFonts w:ascii="Times New Roman" w:hAnsi="Times New Roman"/>
          <w:sz w:val="24"/>
        </w:rPr>
        <w:t xml:space="preserve">) (Table 3). University hospital areas had higher general anaesthesia ratios than non-university areas in 47 of 47 prefectures, with a mean within-prefecture difference of +63.3 points (paired </w:t>
      </w:r>
      <m:oMath>
        <m:r>
          <m:t xml:space="preserve">t </m:t>
        </m:r>
        <m:r>
          <m:t xml:space="preserve">= </m:t>
        </m:r>
        <m:r>
          <m:t xml:space="preserve">13.28</m:t>
        </m:r>
        <m:r>
          <m:t xml:space="preserve">, </m:t>
        </m:r>
        <m:r>
          <m:t xml:space="preserve">P </m:t>
        </m:r>
        <m:r>
          <m:t xml:space="preserve">&lt;</m:t>
        </m:r>
        <m:r>
          <m:t xml:space="preserve">0.001</m:t>
        </m:r>
      </m:oMath>
      <w:r>
        <w:rPr>
          <w:rFonts w:ascii="Times New Roman" w:hAnsi="Times New Roman"/>
          <w:sz w:val="24"/>
        </w:rPr>
        <w:t>) (Figure 2A). Cohen's d for the university hospital effect on general anaesthesia was 1.88; on continuous epidural infusion 1.12; on epidural anaesthesia 0.59; and on spinal anaesthesia 0.40. A combined measure capturing the general-anaesthesia plus continuous-epidural workflow (mean of L008 and L003 SCR; 331 areas with data for both codes) showed a coefficient of variation of 55.5% and preserved a large university hospital effect (</w:t>
      </w:r>
      <m:oMath>
        <m:r>
          <m:t xml:space="preserve">Cohen's d </m:t>
        </m:r>
        <m:r>
          <m:t xml:space="preserve">1.55</m:t>
        </m:r>
      </m:oMath>
      <w:r>
        <w:rPr>
          <w:rFonts w:ascii="Times New Roman" w:hAnsi="Times New Roman"/>
          <w:sz w:val="24"/>
        </w:rPr>
        <w:t>; university mean 130.3 versus non-university 70.2) (Figure 2B).</w:t>
      </w:r>
    </w:p>
    <w:p>
      <w:pPr>
        <w:spacing w:before="240" w:after="120"/>
      </w:pPr>
      <w:r>
        <w:rPr>
          <w:rFonts w:ascii="Times New Roman" w:hAnsi="Times New Roman"/>
          <w:b/>
          <w:sz w:val="24"/>
        </w:rPr>
        <w:t>Table 3. Multilevel linear mixed model results: standardised claim ratio as outcome, prefecture as random intercept.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20"/>
              </w:rPr>
              <w:t>Code</w:t>
            </w:r>
          </w:p>
        </w:tc>
        <w:tc>
          <w:tcPr>
            <w:tcW w:type="dxa" w:w="1805"/>
          </w:tcPr>
          <w:p>
            <w:r/>
            <w:r>
              <w:rPr>
                <w:rFonts w:ascii="Times New Roman" w:hAnsi="Times New Roman"/>
                <w:b/>
                <w:sz w:val="20"/>
              </w:rPr>
              <w:t>Null model ICC</w:t>
            </w:r>
          </w:p>
        </w:tc>
        <w:tc>
          <w:tcPr>
            <w:tcW w:type="dxa" w:w="1805"/>
          </w:tcPr>
          <w:p>
            <w:r/>
            <w:r>
              <w:rPr>
                <w:rFonts w:ascii="Times New Roman" w:hAnsi="Times New Roman"/>
                <w:b/>
                <w:sz w:val="20"/>
              </w:rPr>
            </w:r>
            <m:oMath>
              <m:r>
                <m:t xml:space="preserve">β</m:t>
              </m:r>
            </m:oMath>
            <w:r>
              <w:rPr>
                <w:rFonts w:ascii="Times New Roman" w:hAnsi="Times New Roman"/>
                <w:b/>
                <w:sz w:val="20"/>
              </w:rPr>
              <w:t xml:space="preserve"> university (95% CI)</w:t>
            </w:r>
          </w:p>
        </w:tc>
        <w:tc>
          <w:tcPr>
            <w:tcW w:type="dxa" w:w="1805"/>
          </w:tcPr>
          <w:p>
            <w:r/>
            <w:r>
              <w:rPr>
                <w:rFonts w:ascii="Times New Roman" w:hAnsi="Times New Roman"/>
                <w:b/>
                <w:sz w:val="20"/>
              </w:rPr>
              <w:t>P value</w:t>
            </w:r>
          </w:p>
        </w:tc>
        <w:tc>
          <w:tcPr>
            <w:tcW w:type="dxa" w:w="1805"/>
          </w:tcPr>
          <w:p>
            <w:r/>
            <w:r>
              <w:rPr>
                <w:rFonts w:ascii="Times New Roman" w:hAnsi="Times New Roman"/>
                <w:b/>
                <w:sz w:val="20"/>
              </w:rPr>
              <w:t xml:space="preserve">Marginal </w:t>
            </w:r>
            <m:oMath>
              <m:sSup>
                <m:e>
                  <m:r>
                    <m:t xml:space="preserve">R</m:t>
                  </m:r>
                </m:e>
                <m:sup>
                  <m:r>
                    <m:t xml:space="preserve">2</m:t>
                  </m:r>
                </m:sup>
              </m:sSup>
            </m:oMath>
            <w:r>
              <w:rPr>
                <w:rFonts w:ascii="Times New Roman" w:hAnsi="Times New Roman"/>
                <w:b/>
                <w:sz w:val="20"/>
              </w:rPr>
            </w:r>
          </w:p>
        </w:tc>
      </w:tr>
      <w:tr>
        <w:tc>
          <w:tcPr>
            <w:tcW w:type="dxa" w:w="1805"/>
          </w:tcPr>
          <w:p>
            <w:r/>
            <w:r>
              <w:rPr>
                <w:rFonts w:ascii="Times New Roman" w:hAnsi="Times New Roman"/>
                <w:sz w:val="20"/>
              </w:rPr>
              <w:t>L008</w:t>
            </w:r>
          </w:p>
        </w:tc>
        <w:tc>
          <w:tcPr>
            <w:tcW w:type="dxa" w:w="1805"/>
          </w:tcPr>
          <w:p>
            <w:r/>
            <w:r>
              <w:rPr>
                <w:rFonts w:ascii="Times New Roman" w:hAnsi="Times New Roman"/>
                <w:sz w:val="20"/>
              </w:rPr>
              <w:t>0.058</w:t>
            </w:r>
          </w:p>
        </w:tc>
        <w:tc>
          <w:tcPr>
            <w:tcW w:type="dxa" w:w="1805"/>
          </w:tcPr>
          <w:p>
            <w:r/>
            <w:r>
              <w:rPr>
                <w:rFonts w:ascii="Times New Roman" w:hAnsi="Times New Roman"/>
                <w:sz w:val="20"/>
              </w:rPr>
              <w:t>+64.1 (54.8 to 73.4)</w:t>
            </w:r>
          </w:p>
        </w:tc>
        <w:tc>
          <w:tcPr>
            <w:tcW w:type="dxa" w:w="1805"/>
          </w:tcPr>
          <w:p>
            <w:r/>
            <w:r>
              <w:rPr>
                <w:rFonts w:ascii="Times New Roman" w:hAnsi="Times New Roman"/>
                <w:sz w:val="20"/>
              </w:rPr>
              <w:t>&lt;0.001</w:t>
            </w:r>
          </w:p>
        </w:tc>
        <w:tc>
          <w:tcPr>
            <w:tcW w:type="dxa" w:w="1805"/>
          </w:tcPr>
          <w:p>
            <w:r/>
            <w:r>
              <w:rPr>
                <w:rFonts w:ascii="Times New Roman" w:hAnsi="Times New Roman"/>
                <w:sz w:val="20"/>
              </w:rPr>
              <w:t>0.358</w:t>
            </w:r>
          </w:p>
        </w:tc>
      </w:tr>
      <w:tr>
        <w:tc>
          <w:tcPr>
            <w:tcW w:type="dxa" w:w="1805"/>
          </w:tcPr>
          <w:p>
            <w:r/>
            <w:r>
              <w:rPr>
                <w:rFonts w:ascii="Times New Roman" w:hAnsi="Times New Roman"/>
                <w:sz w:val="20"/>
              </w:rPr>
              <w:t>L002</w:t>
            </w:r>
          </w:p>
        </w:tc>
        <w:tc>
          <w:tcPr>
            <w:tcW w:type="dxa" w:w="1805"/>
          </w:tcPr>
          <w:p>
            <w:r/>
            <w:r>
              <w:rPr>
                <w:rFonts w:ascii="Times New Roman" w:hAnsi="Times New Roman"/>
                <w:sz w:val="20"/>
              </w:rPr>
              <w:t>0.191</w:t>
            </w:r>
          </w:p>
        </w:tc>
        <w:tc>
          <w:tcPr>
            <w:tcW w:type="dxa" w:w="1805"/>
          </w:tcPr>
          <w:p>
            <w:r/>
            <w:r>
              <w:rPr>
                <w:rFonts w:ascii="Times New Roman" w:hAnsi="Times New Roman"/>
                <w:sz w:val="20"/>
              </w:rPr>
              <w:t>+49.0 (27.2 to 70.8)</w:t>
            </w:r>
          </w:p>
        </w:tc>
        <w:tc>
          <w:tcPr>
            <w:tcW w:type="dxa" w:w="1805"/>
          </w:tcPr>
          <w:p>
            <w:r/>
            <w:r>
              <w:rPr>
                <w:rFonts w:ascii="Times New Roman" w:hAnsi="Times New Roman"/>
                <w:sz w:val="20"/>
              </w:rPr>
              <w:t>&lt;0.001</w:t>
            </w:r>
          </w:p>
        </w:tc>
        <w:tc>
          <w:tcPr>
            <w:tcW w:type="dxa" w:w="1805"/>
          </w:tcPr>
          <w:p>
            <w:r/>
            <w:r>
              <w:rPr>
                <w:rFonts w:ascii="Times New Roman" w:hAnsi="Times New Roman"/>
                <w:sz w:val="20"/>
              </w:rPr>
              <w:t>0.125</w:t>
            </w:r>
          </w:p>
        </w:tc>
      </w:tr>
      <w:tr>
        <w:tc>
          <w:tcPr>
            <w:tcW w:type="dxa" w:w="1805"/>
          </w:tcPr>
          <w:p>
            <w:r/>
            <w:r>
              <w:rPr>
                <w:rFonts w:ascii="Times New Roman" w:hAnsi="Times New Roman"/>
                <w:sz w:val="20"/>
              </w:rPr>
              <w:t>L003</w:t>
            </w:r>
          </w:p>
        </w:tc>
        <w:tc>
          <w:tcPr>
            <w:tcW w:type="dxa" w:w="1805"/>
          </w:tcPr>
          <w:p>
            <w:r/>
            <w:r>
              <w:rPr>
                <w:rFonts w:ascii="Times New Roman" w:hAnsi="Times New Roman"/>
                <w:sz w:val="20"/>
              </w:rPr>
              <w:t>0.106</w:t>
            </w:r>
          </w:p>
        </w:tc>
        <w:tc>
          <w:tcPr>
            <w:tcW w:type="dxa" w:w="1805"/>
          </w:tcPr>
          <w:p>
            <w:r/>
            <w:r>
              <w:rPr>
                <w:rFonts w:ascii="Times New Roman" w:hAnsi="Times New Roman"/>
                <w:sz w:val="20"/>
              </w:rPr>
              <w:t>+55.8 (43.0 to 68.7)</w:t>
            </w:r>
          </w:p>
        </w:tc>
        <w:tc>
          <w:tcPr>
            <w:tcW w:type="dxa" w:w="1805"/>
          </w:tcPr>
          <w:p>
            <w:r/>
            <w:r>
              <w:rPr>
                <w:rFonts w:ascii="Times New Roman" w:hAnsi="Times New Roman"/>
                <w:sz w:val="20"/>
              </w:rPr>
              <w:t>&lt;0.001</w:t>
            </w:r>
          </w:p>
        </w:tc>
        <w:tc>
          <w:tcPr>
            <w:tcW w:type="dxa" w:w="1805"/>
          </w:tcPr>
          <w:p>
            <w:r/>
            <w:r>
              <w:rPr>
                <w:rFonts w:ascii="Times New Roman" w:hAnsi="Times New Roman"/>
                <w:sz w:val="20"/>
              </w:rPr>
              <w:t>0.162</w:t>
            </w:r>
          </w:p>
        </w:tc>
      </w:tr>
      <w:tr>
        <w:tc>
          <w:tcPr>
            <w:tcW w:type="dxa" w:w="1805"/>
          </w:tcPr>
          <w:p>
            <w:r/>
            <w:r>
              <w:rPr>
                <w:rFonts w:ascii="Times New Roman" w:hAnsi="Times New Roman"/>
                <w:sz w:val="20"/>
              </w:rPr>
              <w:t>L004</w:t>
            </w:r>
          </w:p>
        </w:tc>
        <w:tc>
          <w:tcPr>
            <w:tcW w:type="dxa" w:w="1805"/>
          </w:tcPr>
          <w:p>
            <w:r/>
            <w:r>
              <w:rPr>
                <w:rFonts w:ascii="Times New Roman" w:hAnsi="Times New Roman"/>
                <w:sz w:val="20"/>
              </w:rPr>
              <w:t>0.343</w:t>
            </w:r>
          </w:p>
        </w:tc>
        <w:tc>
          <w:tcPr>
            <w:tcW w:type="dxa" w:w="1805"/>
          </w:tcPr>
          <w:p>
            <w:r/>
            <w:r>
              <w:rPr>
                <w:rFonts w:ascii="Times New Roman" w:hAnsi="Times New Roman"/>
                <w:sz w:val="20"/>
              </w:rPr>
              <w:t>+23.0 (11.0 to 35.1)</w:t>
            </w:r>
          </w:p>
        </w:tc>
        <w:tc>
          <w:tcPr>
            <w:tcW w:type="dxa" w:w="1805"/>
          </w:tcPr>
          <w:p>
            <w:r/>
            <w:r>
              <w:rPr>
                <w:rFonts w:ascii="Times New Roman" w:hAnsi="Times New Roman"/>
                <w:sz w:val="20"/>
              </w:rPr>
              <w:t>&lt;0.001</w:t>
            </w:r>
          </w:p>
        </w:tc>
        <w:tc>
          <w:tcPr>
            <w:tcW w:type="dxa" w:w="1805"/>
          </w:tcPr>
          <w:p>
            <w:r/>
            <w:r>
              <w:rPr>
                <w:rFonts w:ascii="Times New Roman" w:hAnsi="Times New Roman"/>
                <w:sz w:val="20"/>
              </w:rPr>
              <w:t>0.020</w:t>
            </w:r>
          </w:p>
        </w:tc>
      </w:tr>
    </w:tbl>
    <w:p>
      <w:pPr>
        <w:spacing w:before="120" w:after="240"/>
      </w:pPr>
      <w:r>
        <w:rPr>
          <w:rFonts w:ascii="Times New Roman" w:hAnsi="Times New Roman"/>
          <w:i/>
          <w:sz w:val="24"/>
        </w:rPr>
      </w:r>
      <m:oMath>
        <m:r>
          <m:t xml:space="preserve">β</m:t>
        </m:r>
      </m:oMath>
      <w:r>
        <w:rPr>
          <w:rFonts w:ascii="Times New Roman" w:hAnsi="Times New Roman"/>
          <w:i/>
          <w:sz w:val="24"/>
        </w:rPr>
        <w:t xml:space="preserve"> university, fixed effect coefficient for university hospital presence (binary 0/1); CI, confidence interval; ICC, intraclass correlation coefficient (proportion of variance attributable to prefecture level in the null random-intercept model); Marginal </w:t>
      </w:r>
      <m:oMath>
        <m:sSup>
          <m:e>
            <m:r>
              <m:t xml:space="preserve">R</m:t>
            </m:r>
          </m:e>
          <m:sup>
            <m:r>
              <m:t xml:space="preserve">2</m:t>
            </m:r>
          </m:sup>
        </m:sSup>
      </m:oMath>
      <w:r>
        <w:rPr>
          <w:rFonts w:ascii="Times New Roman" w:hAnsi="Times New Roman"/>
          <w:i/>
          <w:sz w:val="24"/>
        </w:rPr>
        <w:t>, proportional reduction in total (prefecture + residual) variance from the null model after adding the university hospital fixed effect. Models were estimated by restricted maximum likelihood.</w:t>
      </w:r>
    </w:p>
    <w:p>
      <w:r>
        <w:rPr>
          <w:rFonts w:ascii="Times New Roman" w:hAnsi="Times New Roman"/>
          <w:sz w:val="24"/>
        </w:rPr>
        <w:t>A covariate-adjusted sensitivity model added the natural logarithm of population density and the anaesthesiologist share of all physicians (both standardised). The university hospital coefficient was attenuated but remained positive and statistically significant for general anaesthesia (</w:t>
      </w:r>
      <m:oMath>
        <m:r>
          <m:t xml:space="preserve">β </m:t>
        </m:r>
        <m:r>
          <m:t xml:space="preserve">= </m:t>
        </m:r>
        <m:r>
          <m:t xml:space="preserve">+41.8</m:t>
        </m:r>
        <m:r>
          <m:t xml:space="preserve">, </m:t>
        </m:r>
        <m:r>
          <m:t xml:space="preserve">95% CI </m:t>
        </m:r>
        <m:r>
          <m:t xml:space="preserve">32.4 </m:t>
        </m:r>
        <m:r>
          <m:t xml:space="preserve">to </m:t>
        </m:r>
        <m:r>
          <m:t xml:space="preserve">51.2</m:t>
        </m:r>
        <m:r>
          <m:t xml:space="preserve">, </m:t>
        </m:r>
        <m:r>
          <m:t xml:space="preserve">P </m:t>
        </m:r>
        <m:r>
          <m:t xml:space="preserve">&lt;</m:t>
        </m:r>
        <m:r>
          <m:t xml:space="preserve">0.001</m:t>
        </m:r>
      </m:oMath>
      <w:r>
        <w:rPr>
          <w:rFonts w:ascii="Times New Roman" w:hAnsi="Times New Roman"/>
          <w:sz w:val="24"/>
        </w:rPr>
        <w:t>), epidural anaesthesia (</w:t>
      </w:r>
      <m:oMath>
        <m:r>
          <m:t xml:space="preserve">β </m:t>
        </m:r>
        <m:r>
          <m:t xml:space="preserve">= </m:t>
        </m:r>
        <m:r>
          <m:t xml:space="preserve">+39.1</m:t>
        </m:r>
        <m:r>
          <m:t xml:space="preserve">, </m:t>
        </m:r>
        <m:r>
          <m:t xml:space="preserve">95% CI </m:t>
        </m:r>
        <m:r>
          <m:t xml:space="preserve">14.5 </m:t>
        </m:r>
        <m:r>
          <m:t xml:space="preserve">to </m:t>
        </m:r>
        <m:r>
          <m:t xml:space="preserve">63.7</m:t>
        </m:r>
        <m:r>
          <m:t xml:space="preserve">, </m:t>
        </m:r>
        <m:r>
          <m:t xml:space="preserve">P </m:t>
        </m:r>
        <m:r>
          <m:t xml:space="preserve">0.002</m:t>
        </m:r>
      </m:oMath>
      <w:r>
        <w:rPr>
          <w:rFonts w:ascii="Times New Roman" w:hAnsi="Times New Roman"/>
          <w:sz w:val="24"/>
        </w:rPr>
        <w:t>) and continuous epidural infusion (</w:t>
      </w:r>
      <m:oMath>
        <m:r>
          <m:t xml:space="preserve">β </m:t>
        </m:r>
        <m:r>
          <m:t xml:space="preserve">= </m:t>
        </m:r>
        <m:r>
          <m:t xml:space="preserve">+33.9</m:t>
        </m:r>
        <m:r>
          <m:t xml:space="preserve">, </m:t>
        </m:r>
        <m:r>
          <m:t xml:space="preserve">95% CI </m:t>
        </m:r>
        <m:r>
          <m:t xml:space="preserve">20.0 </m:t>
        </m:r>
        <m:r>
          <m:t xml:space="preserve">to </m:t>
        </m:r>
        <m:r>
          <m:t xml:space="preserve">47.7</m:t>
        </m:r>
        <m:r>
          <m:t xml:space="preserve">, </m:t>
        </m:r>
        <m:r>
          <m:t xml:space="preserve">P </m:t>
        </m:r>
        <m:r>
          <m:t xml:space="preserve">&lt;</m:t>
        </m:r>
        <m:r>
          <m:t xml:space="preserve">0.001</m:t>
        </m:r>
      </m:oMath>
      <w:r>
        <w:rPr>
          <w:rFonts w:ascii="Times New Roman" w:hAnsi="Times New Roman"/>
          <w:sz w:val="24"/>
        </w:rPr>
        <w:t>). For spinal anaesthesia the point estimate was positive but no longer statistically significant (</w:t>
      </w:r>
      <m:oMath>
        <m:r>
          <m:t xml:space="preserve">β </m:t>
        </m:r>
        <m:r>
          <m:t xml:space="preserve">= </m:t>
        </m:r>
        <m:r>
          <m:t xml:space="preserve">+9.7</m:t>
        </m:r>
        <m:r>
          <m:t xml:space="preserve">, </m:t>
        </m:r>
        <m:r>
          <m:t xml:space="preserve">95% CI </m:t>
        </m:r>
        <m:r>
          <m:t xml:space="preserve">-4.0 </m:t>
        </m:r>
        <m:r>
          <m:t xml:space="preserve">to </m:t>
        </m:r>
        <m:r>
          <m:t xml:space="preserve">23.3</m:t>
        </m:r>
        <m:r>
          <m:t xml:space="preserve">, </m:t>
        </m:r>
        <m:r>
          <m:t xml:space="preserve">P </m:t>
        </m:r>
        <m:r>
          <m:t xml:space="preserve">0.165</m:t>
        </m:r>
      </m:oMath>
      <w:r>
        <w:rPr>
          <w:rFonts w:ascii="Times New Roman" w:hAnsi="Times New Roman"/>
          <w:sz w:val="24"/>
        </w:rPr>
        <w:t>). Population density was positively associated with general anaesthesia ratios (</w:t>
      </w:r>
      <m:oMath>
        <m:r>
          <m:t xml:space="preserve">β </m:t>
        </m:r>
        <m:r>
          <m:t xml:space="preserve">= </m:t>
        </m:r>
        <m:r>
          <m:t xml:space="preserve">8.3</m:t>
        </m:r>
        <m:r>
          <m:t xml:space="preserve">, </m:t>
        </m:r>
        <m:r>
          <m:t xml:space="preserve">P </m:t>
        </m:r>
        <m:r>
          <m:t xml:space="preserve">&lt;</m:t>
        </m:r>
        <m:r>
          <m:t xml:space="preserve">0.001</m:t>
        </m:r>
      </m:oMath>
      <w:r>
        <w:rPr>
          <w:rFonts w:ascii="Times New Roman" w:hAnsi="Times New Roman"/>
          <w:sz w:val="24"/>
        </w:rPr>
        <w:t>) but not with the other three codes. The anaesthesiologist share was positively associated with general, epidural, continuous epidural and spinal anaesthesia (</w:t>
      </w:r>
      <m:oMath>
        <m:r>
          <m:t xml:space="preserve">P </m:t>
        </m:r>
        <m:r>
          <m:t xml:space="preserve">&lt;</m:t>
        </m:r>
        <m:r>
          <m:t xml:space="preserve">0.001</m:t>
        </m:r>
      </m:oMath>
      <w:r>
        <w:rPr>
          <w:rFonts w:ascii="Times New Roman" w:hAnsi="Times New Roman"/>
          <w:sz w:val="24"/>
        </w:rPr>
        <w:t>, 0.039, &lt;0.001 and 0.005, respectively). The covariate-adjusted mixed models produced optimizer-convergence warnings in Statsmodels;</w:t>
      </w:r>
      <w:r>
        <w:rPr>
          <w:rFonts w:ascii="Times New Roman" w:hAnsi="Times New Roman"/>
          <w:sz w:val="24"/>
          <w:vertAlign w:val="superscript"/>
        </w:rPr>
        <w:t>13</w:t>
      </w:r>
      <w:r>
        <w:rPr>
          <w:rFonts w:ascii="Times New Roman" w:hAnsi="Times New Roman"/>
          <w:sz w:val="24"/>
        </w:rPr>
        <w:t xml:space="preserve"> we therefore refitted them with the lbfgs and cg optimisers, and the point estimates remained stable across optimisers and sensitivity analyses.</w:t>
      </w:r>
    </w:p>
    <w:p>
      <w:pPr>
        <w:spacing w:after="0"/>
      </w:pPr>
    </w:p>
    <w:p>
      <w:pPr>
        <w:spacing w:before="160" w:after="80"/>
      </w:pPr>
      <w:r>
        <w:rPr>
          <w:rFonts w:ascii="Times New Roman" w:hAnsi="Times New Roman"/>
          <w:b/>
          <w:sz w:val="24"/>
        </w:rPr>
        <w:t>3.3 Sensitivity analyses against the audit hypothesis</w:t>
      </w:r>
    </w:p>
    <w:p>
      <w:r>
        <w:rPr>
          <w:rFonts w:ascii="Times New Roman" w:hAnsi="Times New Roman"/>
          <w:sz w:val="24"/>
        </w:rPr>
        <w:t>All three pre-specified sensitivity analyses converged in rejecting the audit hypothesis. First, within-prefecture variance decomposition attributed 14.5% of general anaesthesia variance to between-prefecture differences, 40.5% to the university hospital effect within prefecture, and 45.0% to residual within-group variation; the university hospital effect alone explained 47.4% of all within-prefecture variance. Second, general and spinal anaesthesia were positively, not negatively, correlated (</w:t>
      </w:r>
      <m:oMath>
        <m:r>
          <m:t xml:space="preserve">r </m:t>
        </m:r>
        <m:r>
          <m:t xml:space="preserve">= </m:t>
        </m:r>
        <m:r>
          <m:t xml:space="preserve">0.235</m:t>
        </m:r>
        <m:r>
          <m:t xml:space="preserve">, </m:t>
        </m:r>
        <m:r>
          <m:t xml:space="preserve">P </m:t>
        </m:r>
        <m:r>
          <m:t xml:space="preserve">&lt;</m:t>
        </m:r>
        <m:r>
          <m:t xml:space="preserve">0.001</m:t>
        </m:r>
      </m:oMath>
      <w:r>
        <w:rPr>
          <w:rFonts w:ascii="Times New Roman" w:hAnsi="Times New Roman"/>
          <w:sz w:val="24"/>
        </w:rPr>
        <w:t>), as were general and epidural anaesthesia (</w:t>
      </w:r>
      <m:oMath>
        <m:r>
          <m:t xml:space="preserve">r </m:t>
        </m:r>
        <m:r>
          <m:t xml:space="preserve">= </m:t>
        </m:r>
        <m:r>
          <m:t xml:space="preserve">0.319</m:t>
        </m:r>
        <m:r>
          <m:t xml:space="preserve">, </m:t>
        </m:r>
        <m:r>
          <m:t xml:space="preserve">P </m:t>
        </m:r>
        <m:r>
          <m:t xml:space="preserve">&lt;</m:t>
        </m:r>
        <m:r>
          <m:t xml:space="preserve">0.001</m:t>
        </m:r>
      </m:oMath>
      <w:r>
        <w:rPr>
          <w:rFonts w:ascii="Times New Roman" w:hAnsi="Times New Roman"/>
          <w:sz w:val="24"/>
        </w:rPr>
        <w:t>), inconsistent with audit-driven reclassification and consistent with a common supply factor. Third, the maximum prefectural audit-rate difference of 0.28 percentage points could produce a ratio shift of approximately 0.28 points, equivalent to approximately 0.53% of the observed interquartile range for general anaesthesia and 0.27% for epidural anaesthesia. Combining general (L008) and spinal (L004) ratios produced an alternative audit-insensitive measure with a coefficient of variation of 43.4% and a university hospital effect that remained large (</w:t>
      </w:r>
      <m:oMath>
        <m:r>
          <m:t xml:space="preserve">Cohen's d </m:t>
        </m:r>
        <m:r>
          <m:t xml:space="preserve">1.26</m:t>
        </m:r>
      </m:oMath>
      <w:r>
        <w:rPr>
          <w:rFonts w:ascii="Times New Roman" w:hAnsi="Times New Roman"/>
          <w:sz w:val="24"/>
        </w:rPr>
        <w:t>), confirming that the structural effect is not artefactually erased by combining reclassifiable codes.</w:t>
      </w:r>
    </w:p>
    <w:p>
      <w:pPr>
        <w:spacing w:before="160" w:after="80"/>
      </w:pPr>
      <w:r>
        <w:rPr>
          <w:rFonts w:ascii="Times New Roman" w:hAnsi="Times New Roman"/>
          <w:b/>
          <w:sz w:val="24"/>
        </w:rPr>
        <w:t>3.4 Robustness: empirical Bayes shrinkage and outliers</w:t>
      </w:r>
    </w:p>
    <w:p>
      <w:r>
        <w:rPr>
          <w:rFonts w:ascii="Times New Roman" w:hAnsi="Times New Roman"/>
          <w:sz w:val="24"/>
        </w:rPr>
        <w:t>Empirical Bayes shrinkage toward prefecture means was implemented as a stress test of the area-level ratios. Under this model, shrinkage substantially compressed the area-level ratios toward their prefecture means. For general anaesthesia, Cohen's d for the university-hospital effect fell from 1.88 (raw) to 0.63 (shrunken), an attenuation of 66.5%; for epidural anaesthesia (L002) from 0.59 to 0.23 (60.6%); and for spinal anaesthesia (L004) from 0.40 to 0.04 (89.9%). The general anaesthesia effect therefore remained of moderate magnitude despite heavy shrinkage, whereas the L002 and L004 effects were materially attenuated, indicating that those smaller raw effects are more vulnerable to sampling instability. These shrinkage estimates are complementary to, and consistent in direction with, the mixed-effects model coefficients reported in Table 3, which themselves incorporate prefecture-level shrinkage. Two areas were identified as outliers (more than three standard deviations from the mean general anaesthesia ratio): Awa (Chiba) in Chiba (ratio 216.7) and central Tokyo (Tokyo) in Tokyo (ratio 435.7). Excluding outliers did not alter the direction or statistical significance of any finding.</w:t>
      </w:r>
    </w:p>
    <w:p>
      <w:pPr>
        <w:spacing w:before="240" w:after="120"/>
      </w:pPr>
      <w:r>
        <w:rPr>
          <w:rFonts w:ascii="Times New Roman" w:hAnsi="Times New Roman"/>
          <w:b/>
          <w:sz w:val="26"/>
        </w:rPr>
        <w:t>4. DISCUSSION</w:t>
      </w:r>
    </w:p>
    <w:p>
      <w:pPr>
        <w:spacing w:before="160" w:after="80"/>
      </w:pPr>
      <w:r>
        <w:rPr>
          <w:rFonts w:ascii="Times New Roman" w:hAnsi="Times New Roman"/>
          <w:b/>
          <w:sz w:val="24"/>
        </w:rPr>
        <w:t>4.1 Statement of principal findings</w:t>
      </w:r>
    </w:p>
    <w:p>
      <w:r>
        <w:rPr>
          <w:rFonts w:ascii="Times New Roman" w:hAnsi="Times New Roman"/>
          <w:sz w:val="24"/>
        </w:rPr>
        <w:t>Regional variation in anaesthesia practice across Japan's 335 secondary medical areas is large and predominantly structural. University hospital presence explained the largest share of variance for general anaesthesia and was positive in every prefecture, while the proportion of variance attributable to prefecture-level factors -- where audit intensity differs -- was small. Three independent sensitivity analyses converged in rejecting differential auditing as the main explanation. Because the outcome is a reimbursed claim ratio, the observed gradient documents service delivery rather than bedside practice directly; however, the within-prefecture structure of the data and the audit-sensitivity analyses make it unlikely that the entire pattern is an artefact of differential scrutiny. The residual variation is therefore best interpreted as a geographically patterned difference in the provision of potentially beneficial anaesthesia services.</w:t>
      </w:r>
    </w:p>
    <w:p>
      <w:pPr>
        <w:spacing w:before="160" w:after="80"/>
      </w:pPr>
      <w:r>
        <w:rPr>
          <w:rFonts w:ascii="Times New Roman" w:hAnsi="Times New Roman"/>
          <w:b/>
          <w:sz w:val="24"/>
        </w:rPr>
        <w:t>4.2 Strengths and limitations</w:t>
      </w:r>
    </w:p>
    <w:p>
      <w:r>
        <w:rPr>
          <w:rFonts w:ascii="Times New Roman" w:hAnsi="Times New Roman"/>
          <w:sz w:val="24"/>
        </w:rPr>
        <w:t>Strengths include the use of age- and sex-standardised ratios covering the entire national population; analysis at a fine geographic scale of 335 areas nested within 47 prefectures; multilevel modelling that accounts for the nested data structure; empirical Bayes shrinkage to address low-volume instability; multiple pre-specified sensitivity analyses; and the residence-based ratio definition that mitigates patient travel effects. Limitations are those common to ecological, cross-sectional claims studies: the ecological fallacy;</w:t>
      </w:r>
      <w:r>
        <w:rPr>
          <w:rFonts w:ascii="Times New Roman" w:hAnsi="Times New Roman"/>
          <w:sz w:val="24"/>
          <w:vertAlign w:val="superscript"/>
        </w:rPr>
        <w:t>14</w:t>
      </w:r>
      <w:r>
        <w:rPr>
          <w:rFonts w:ascii="Times New Roman" w:hAnsi="Times New Roman"/>
          <w:sz w:val="24"/>
        </w:rPr>
        <w:t xml:space="preserve"> the inability to infer individual-level treatment from area-level aggregates; the cross-sectional design, which precludes causal inference; the post-audit nature of the data, which reflects reimbursed rather than intended practice; and the partial overlap between university hospital presence and urban concentration. We could not access code-specific audit rates, so the audit-sensitivity bound relies on the aggregate prefectural audit differential. A specific data constraint is that the combined anaesthesia add-on billed under L008 is aggregated with other add-ons in the publicly released regional variation dataset and cannot be extracted separately; patient-level National Database records would be needed to measure the true rate of combined general-epidural anaesthesia. We therefore used L002 (epidural as main technique) and L003 (continuous epidural infusion) as the best available public proxies. A covariate-adjusted sensitivity model added population density and anaesthesiologist share of physicians; the university hospital coefficient remained positive and statistically significant for general, epidural and continuous epidural anaesthesia, but not for spinal anaesthesia. The positive point estimate for spinal anaesthesia is compatible with the same structural gradient in an underpowered model, and may partly reflect a countervailing tendency for neuraxial anaesthesia to be provided in settings where anaesthesiologists are less available. The aggregate data cannot separate these opposing mechanisms, so the adjusted spinal-anaesthesia coefficient is best interpreted as an imprecise net effect.</w:t>
      </w:r>
    </w:p>
    <w:p>
      <w:pPr>
        <w:spacing w:before="160" w:after="80"/>
      </w:pPr>
      <w:r>
        <w:rPr>
          <w:rFonts w:ascii="Times New Roman" w:hAnsi="Times New Roman"/>
          <w:b/>
          <w:sz w:val="24"/>
        </w:rPr>
        <w:t>4.3 International generalizability and clinical relevance</w:t>
      </w:r>
    </w:p>
    <w:p>
      <w:r>
        <w:rPr>
          <w:rFonts w:ascii="Times New Roman" w:hAnsi="Times New Roman"/>
          <w:sz w:val="24"/>
        </w:rPr>
        <w:t>Our findings are consistent with the broader medical practice-variation literature. The Dartmouth Atlas project documented extensive regional variation in surgical rates in the United States, driven primarily by physician supply and practice style.</w:t>
      </w:r>
      <w:r>
        <w:rPr>
          <w:rFonts w:ascii="Times New Roman" w:hAnsi="Times New Roman"/>
          <w:sz w:val="24"/>
          <w:vertAlign w:val="superscript"/>
        </w:rPr>
        <w:t>15</w:t>
      </w:r>
      <w:r>
        <w:rPr>
          <w:rFonts w:ascii="Times New Roman" w:hAnsi="Times New Roman"/>
          <w:sz w:val="24"/>
        </w:rPr>
        <w:t xml:space="preserve"> Comparable patterns have been described for the National Health Service in England,</w:t>
      </w:r>
      <w:r>
        <w:rPr>
          <w:rFonts w:ascii="Times New Roman" w:hAnsi="Times New Roman"/>
          <w:sz w:val="24"/>
          <w:vertAlign w:val="superscript"/>
        </w:rPr>
        <w:t>16</w:t>
      </w:r>
      <w:r>
        <w:rPr>
          <w:rFonts w:ascii="Times New Roman" w:hAnsi="Times New Roman"/>
          <w:sz w:val="24"/>
        </w:rPr>
        <w:t xml:space="preserve"> Germany</w:t>
      </w:r>
      <w:r>
        <w:rPr>
          <w:rFonts w:ascii="Times New Roman" w:hAnsi="Times New Roman"/>
          <w:sz w:val="24"/>
          <w:vertAlign w:val="superscript"/>
        </w:rPr>
        <w:t>17</w:t>
      </w:r>
      <w:r>
        <w:rPr>
          <w:rFonts w:ascii="Times New Roman" w:hAnsi="Times New Roman"/>
          <w:sz w:val="24"/>
        </w:rPr>
        <w:t xml:space="preserve"> and Australia.</w:t>
      </w:r>
      <w:r>
        <w:rPr>
          <w:rFonts w:ascii="Times New Roman" w:hAnsi="Times New Roman"/>
          <w:sz w:val="24"/>
          <w:vertAlign w:val="superscript"/>
        </w:rPr>
        <w:t>18</w:t>
      </w:r>
      <w:r>
        <w:rPr>
          <w:rFonts w:ascii="Times New Roman" w:hAnsi="Times New Roman"/>
          <w:sz w:val="24"/>
        </w:rPr>
        <w:t xml:space="preserve"> Our study extends this evidence by exploiting Japan's uniform fee schedule combined with prefecture-specific auditing to disentangle administrative and structural sources of variation, and by providing, to our knowledge, the first multilevel small-area analysis of anaesthesia technique under universal coverage in East Asia. The university hospital effect we report (</w:t>
      </w:r>
      <m:oMath>
        <m:r>
          <m:t xml:space="preserve">Cohen's d </m:t>
        </m:r>
        <m:r>
          <m:t xml:space="preserve">= </m:t>
        </m:r>
        <m:r>
          <m:t xml:space="preserve">1.88</m:t>
        </m:r>
      </m:oMath>
      <w:r>
        <w:rPr>
          <w:rFonts w:ascii="Times New Roman" w:hAnsi="Times New Roman"/>
          <w:sz w:val="24"/>
        </w:rPr>
        <w:t>) is substantial, plausibly reflecting the influence of the ikyoku (university medical office) system on practice in affiliated hospitals.</w:t>
      </w:r>
      <w:r>
        <w:rPr>
          <w:rFonts w:ascii="Times New Roman" w:hAnsi="Times New Roman"/>
          <w:sz w:val="24"/>
          <w:vertAlign w:val="superscript"/>
        </w:rPr>
        <w:t>19</w:t>
      </w:r>
    </w:p>
    <w:p>
      <w:r>
        <w:rPr>
          <w:rFonts w:ascii="Times New Roman" w:hAnsi="Times New Roman"/>
          <w:sz w:val="24"/>
        </w:rPr>
        <w:t>The natural experiment used here depends on two institutional features: a uniform national fee schedule that eliminates price variation, and regionally devolved claims auditing that makes within-region audit policy homogeneous while allowing it to differ between regions. Both features are present in several high-income universal-coverage systems, including Taiwan's National Health Insurance,</w:t>
      </w:r>
      <w:r>
        <w:rPr>
          <w:rFonts w:ascii="Times New Roman" w:hAnsi="Times New Roman"/>
          <w:sz w:val="24"/>
          <w:vertAlign w:val="superscript"/>
        </w:rPr>
        <w:t>20</w:t>
      </w:r>
      <w:r>
        <w:rPr>
          <w:rFonts w:ascii="Times New Roman" w:hAnsi="Times New Roman"/>
          <w:sz w:val="24"/>
        </w:rPr>
        <w:t xml:space="preserve"> South Korea's National Health Insurance Service, and the tariff-based systems of Germany, France and the English National Health Service.</w:t>
      </w:r>
      <w:r>
        <w:rPr>
          <w:rFonts w:ascii="Times New Roman" w:hAnsi="Times New Roman"/>
          <w:sz w:val="24"/>
          <w:vertAlign w:val="superscript"/>
        </w:rPr>
        <w:t>16,17</w:t>
      </w:r>
      <w:r>
        <w:rPr>
          <w:rFonts w:ascii="Times New Roman" w:hAnsi="Times New Roman"/>
          <w:sz w:val="24"/>
        </w:rPr>
        <w:t xml:space="preserve"> In these settings the within-region variance decomposition and audit-sensitivity bound are directly transportable. In countries without universal health coverage, or where reimbursement varies by insurer, state or facility, price and insurance-status differences confound any comparison of regional claims rates, so the audit hypothesis cannot be isolated. The broader framework of decomposing small-area variation into structural versus institutional-artefact components can still be applied if comparable data exist, but the audit-specific interpretation must be calibrated to local reimbursement and auditing arrangements.</w:t>
      </w:r>
    </w:p>
    <w:p>
      <w:r>
        <w:rPr>
          <w:rFonts w:ascii="Times New Roman" w:hAnsi="Times New Roman"/>
          <w:sz w:val="24"/>
        </w:rPr>
        <w:t>For clinical anaesthesia practice, the finding that university-hospital areas use more neuraxial and combined techniques has direct perioperative implications. Neuraxial anaesthesia and epidural analgesia are associated with reduced postoperative opioid consumption, lower postoperative nausea and vomiting, and faster recovery in selected populations.</w:t>
      </w:r>
      <w:r>
        <w:rPr>
          <w:rFonts w:ascii="Times New Roman" w:hAnsi="Times New Roman"/>
          <w:sz w:val="24"/>
          <w:vertAlign w:val="superscript"/>
        </w:rPr>
        <w:t>4-5</w:t>
      </w:r>
      <w:r>
        <w:rPr>
          <w:rFonts w:ascii="Times New Roman" w:hAnsi="Times New Roman"/>
          <w:sz w:val="24"/>
        </w:rPr>
        <w:t xml:space="preserve"> Geographic variation in these techniques therefore translates into variation in potentially modifiable patient outcomes, not merely variation in billing. Because the observed gradient is not explained by differential auditing, interventions should target workforce distribution, training and organisational capacity rather than coding compliance.</w:t>
      </w:r>
    </w:p>
    <w:p>
      <w:pPr>
        <w:spacing w:before="160" w:after="80"/>
      </w:pPr>
      <w:r>
        <w:rPr>
          <w:rFonts w:ascii="Times New Roman" w:hAnsi="Times New Roman"/>
          <w:b/>
          <w:sz w:val="24"/>
        </w:rPr>
        <w:t>4.4 Implications for perioperative practice and policy</w:t>
      </w:r>
    </w:p>
    <w:p>
      <w:r>
        <w:rPr>
          <w:rFonts w:ascii="Times New Roman" w:hAnsi="Times New Roman"/>
          <w:sz w:val="24"/>
        </w:rPr>
        <w:t>Three implications follow from these findings. First, administrative claims data can be used as a surveillance tool to monitor small-area variation in perioperative care under universal coverage, but should be interpreted alongside sensitivity analyses for coding and audit effects. Second, the observed variation in epidural and continuous epidural use signals a potential equity gap: patients' access to techniques that may improve recovery should not depend on whether they live near a university hospital. Third, regulators should focus on workforce and organisational determinants of anaesthesia service delivery rather than treating low regional ratios primarily as coding or fraud problems. The variance-decomposition framework is transferable to other procedures and to systems with a national fee schedule and regional audit variation, but the audit-specific interpretation is limited in settings where fee and insurance structures are heterogeneous.</w:t>
      </w:r>
    </w:p>
    <w:p>
      <w:pPr>
        <w:spacing w:before="240" w:after="120"/>
      </w:pPr>
      <w:r>
        <w:rPr>
          <w:rFonts w:ascii="Times New Roman" w:hAnsi="Times New Roman"/>
          <w:b/>
          <w:sz w:val="26"/>
        </w:rPr>
        <w:t>5. CONCLUSIONS</w:t>
      </w:r>
    </w:p>
    <w:p>
      <w:r>
        <w:rPr>
          <w:rFonts w:ascii="Times New Roman" w:hAnsi="Times New Roman"/>
          <w:sz w:val="24"/>
        </w:rPr>
        <w:t>Regional variation in anaesthesia practice under universal coverage in Japan is large and predominantly structural, driven by access to university hospitals rather than by prefectural claims auditing. The pattern is best interpreted as a documented-service-delivery gradient with potentially inequitable access to neuraxial techniques. In countries without universal coverage or with heterogeneous reimbursement, the audit hypothesis cannot be isolated, although the structural-access framework can be adapted if comparable data exist. Perioperative surveillance of small-area variation should separate administrative from structural sources before interpreting claims data as care variation or as coding quality.</w:t>
      </w:r>
    </w:p>
    <w:p>
      <w:pPr>
        <w:spacing w:before="240" w:after="120"/>
      </w:pPr>
      <w:r>
        <w:rPr>
          <w:rFonts w:ascii="Times New Roman" w:hAnsi="Times New Roman"/>
          <w:b/>
          <w:sz w:val="26"/>
        </w:rPr>
        <w:t>REFERENCES</w:t>
      </w:r>
    </w:p>
    <w:p>
      <w:pPr>
        <w:spacing w:after="0" w:line="480" w:lineRule="auto"/>
      </w:pPr>
      <w:r>
        <w:rPr>
          <w:rFonts w:ascii="Times New Roman" w:hAnsi="Times New Roman"/>
          <w:sz w:val="24"/>
        </w:rPr>
        <w:t xml:space="preserve">1. </w:t>
      </w:r>
      <w:r>
        <w:rPr>
          <w:rFonts w:ascii="Times New Roman" w:hAnsi="Times New Roman"/>
          <w:sz w:val="24"/>
        </w:rPr>
        <w:t>Ikegami N, Yoo BK, Hashimoto H, et al. Japanese universal health coverage: evolution, achievements, and challenges. Lancet 2011;378:1106-15.</w:t>
      </w:r>
    </w:p>
    <w:p>
      <w:pPr>
        <w:spacing w:after="0" w:line="480" w:lineRule="auto"/>
      </w:pPr>
      <w:r>
        <w:rPr>
          <w:rFonts w:ascii="Times New Roman" w:hAnsi="Times New Roman"/>
          <w:sz w:val="24"/>
        </w:rPr>
        <w:t xml:space="preserve">2. </w:t>
      </w:r>
      <w:r>
        <w:rPr>
          <w:rFonts w:ascii="Times New Roman" w:hAnsi="Times New Roman"/>
          <w:sz w:val="24"/>
        </w:rPr>
        <w:t>Hashimoto H, Ikegami N, Shibuya K, et al. Cost containment and quality of care in Japan: is there a trade-off? Lancet 2011;378:1174-82.</w:t>
      </w:r>
    </w:p>
    <w:p>
      <w:pPr>
        <w:spacing w:after="0" w:line="480" w:lineRule="auto"/>
      </w:pPr>
      <w:r>
        <w:rPr>
          <w:rFonts w:ascii="Times New Roman" w:hAnsi="Times New Roman"/>
          <w:sz w:val="24"/>
        </w:rPr>
        <w:t xml:space="preserve">3. </w:t>
      </w:r>
      <w:r>
        <w:rPr>
          <w:rFonts w:ascii="Times New Roman" w:hAnsi="Times New Roman"/>
          <w:sz w:val="24"/>
        </w:rPr>
        <w:t>Social Insurance Medical Fee Payment Fund. 審査状況（令和4年度）— 都道府県別医科歯科計審査状況（点数）. Tokyo: Social Insurance Medical Fee Payment Fund, 2023. https://www.ssk.or.jp/smph/tokeijoho/shinsatokei/shinsajokyo_r04.html (accessed 24 Jul 2026).</w:t>
      </w:r>
    </w:p>
    <w:p>
      <w:pPr>
        <w:spacing w:after="0" w:line="480" w:lineRule="auto"/>
      </w:pPr>
      <w:r>
        <w:rPr>
          <w:rFonts w:ascii="Times New Roman" w:hAnsi="Times New Roman"/>
          <w:sz w:val="24"/>
        </w:rPr>
        <w:t xml:space="preserve">4. </w:t>
      </w:r>
      <w:r>
        <w:rPr>
          <w:rFonts w:ascii="Times New Roman" w:hAnsi="Times New Roman"/>
          <w:sz w:val="24"/>
        </w:rPr>
        <w:t>Sessler DI, Pei L, Huang Y, et al. Recurrence of breast cancer after regional or general anaesthesia: a randomised controlled trial. Lancet 2019;394:1807-15.</w:t>
      </w:r>
    </w:p>
    <w:p>
      <w:pPr>
        <w:spacing w:after="0" w:line="480" w:lineRule="auto"/>
      </w:pPr>
      <w:r>
        <w:rPr>
          <w:rFonts w:ascii="Times New Roman" w:hAnsi="Times New Roman"/>
          <w:sz w:val="24"/>
        </w:rPr>
        <w:t xml:space="preserve">5. </w:t>
      </w:r>
      <w:r>
        <w:rPr>
          <w:rFonts w:ascii="Times New Roman" w:hAnsi="Times New Roman"/>
          <w:sz w:val="24"/>
        </w:rPr>
        <w:t>Weng M, Chen W, Hou W, et al. The effect of neuraxial anaesthesia on cancer recurrence and survival after cancer surgery: an updated meta-analysis. Oncotarget 2016;7:15262-73.</w:t>
      </w:r>
    </w:p>
    <w:p>
      <w:pPr>
        <w:spacing w:after="0" w:line="480" w:lineRule="auto"/>
      </w:pPr>
      <w:r>
        <w:rPr>
          <w:rFonts w:ascii="Times New Roman" w:hAnsi="Times New Roman"/>
          <w:sz w:val="24"/>
        </w:rPr>
        <w:t xml:space="preserve">6. </w:t>
      </w:r>
      <w:r>
        <w:rPr>
          <w:rFonts w:ascii="Times New Roman" w:hAnsi="Times New Roman"/>
          <w:sz w:val="24"/>
        </w:rPr>
        <w:t>Ministry of Health, Labour and Welfare. 2026 revision of the medical fee schedule: changes to the medical fee schedule master (R08). Tokyo: MHLW, 2026. https://shinryohoshu.mhlw.go.jp/shinryohoshu/file/info/smente260522.pdf (accessed 24 Jul 2026).</w:t>
      </w:r>
    </w:p>
    <w:p>
      <w:pPr>
        <w:spacing w:after="0" w:line="480" w:lineRule="auto"/>
      </w:pPr>
      <w:r>
        <w:rPr>
          <w:rFonts w:ascii="Times New Roman" w:hAnsi="Times New Roman"/>
          <w:sz w:val="24"/>
        </w:rPr>
        <w:t xml:space="preserve">7. </w:t>
      </w:r>
      <w:r>
        <w:rPr>
          <w:rFonts w:ascii="Times New Roman" w:hAnsi="Times New Roman"/>
          <w:sz w:val="24"/>
        </w:rPr>
        <w:t>von Elm E, Altman DG, Egger M, et al. The Strengthening the Reporting of Observational Studies in Epidemiology (STROBE) statement: guidelines for reporting observational studies. Lancet 2007;370:1453-7.</w:t>
      </w:r>
    </w:p>
    <w:p>
      <w:pPr>
        <w:spacing w:after="0" w:line="480" w:lineRule="auto"/>
      </w:pPr>
      <w:r>
        <w:rPr>
          <w:rFonts w:ascii="Times New Roman" w:hAnsi="Times New Roman"/>
          <w:sz w:val="24"/>
        </w:rPr>
        <w:t xml:space="preserve">8. </w:t>
      </w:r>
      <w:r>
        <w:rPr>
          <w:rFonts w:ascii="Times New Roman" w:hAnsi="Times New Roman"/>
          <w:sz w:val="24"/>
        </w:rPr>
        <w:t>Matsuda S. Health policy in Japan: current situation and future challenges. JMA J 2019;2:1-10.</w:t>
      </w:r>
    </w:p>
    <w:p>
      <w:pPr>
        <w:spacing w:after="0" w:line="480" w:lineRule="auto"/>
      </w:pPr>
      <w:r>
        <w:rPr>
          <w:rFonts w:ascii="Times New Roman" w:hAnsi="Times New Roman"/>
          <w:sz w:val="24"/>
        </w:rPr>
        <w:t xml:space="preserve">9. </w:t>
      </w:r>
      <w:r>
        <w:rPr>
          <w:rFonts w:ascii="Times New Roman" w:hAnsi="Times New Roman"/>
          <w:sz w:val="24"/>
        </w:rPr>
        <w:t>Wennberg JE, Cooper MM, eds. The Dartmouth Atlas of Health Care. Chicago: American Hospital Publishing, 1999.</w:t>
      </w:r>
    </w:p>
    <w:p>
      <w:pPr>
        <w:spacing w:after="0" w:line="480" w:lineRule="auto"/>
      </w:pPr>
      <w:r>
        <w:rPr>
          <w:rFonts w:ascii="Times New Roman" w:hAnsi="Times New Roman"/>
          <w:sz w:val="24"/>
        </w:rPr>
        <w:t xml:space="preserve">10. </w:t>
      </w:r>
      <w:r>
        <w:rPr>
          <w:rFonts w:ascii="Times New Roman" w:hAnsi="Times New Roman"/>
          <w:sz w:val="24"/>
        </w:rPr>
        <w:t>Cabinet Office. Regional variation visualisation (chiikisa no mieruka). https://www5.cao.go.jp/keizai-shimon/kaigi/special/reform/mieruka/chiikisa/index.html (accessed 10 Mar 2026).</w:t>
      </w:r>
    </w:p>
    <w:p>
      <w:pPr>
        <w:spacing w:after="0" w:line="480" w:lineRule="auto"/>
      </w:pPr>
      <w:r>
        <w:rPr>
          <w:rFonts w:ascii="Times New Roman" w:hAnsi="Times New Roman"/>
          <w:sz w:val="24"/>
        </w:rPr>
        <w:t xml:space="preserve">11. </w:t>
      </w:r>
      <w:r>
        <w:rPr>
          <w:rFonts w:ascii="Times New Roman" w:hAnsi="Times New Roman"/>
          <w:sz w:val="24"/>
        </w:rPr>
        <w:t>Ministry of Health, Labour and Welfare. Survey of Physicians, Dentists and Pharmacists 2022 (e-Stat). https://www.e-stat.go.jp (accessed 12 Mar 2026).</w:t>
      </w:r>
    </w:p>
    <w:p>
      <w:pPr>
        <w:spacing w:after="0" w:line="480" w:lineRule="auto"/>
      </w:pPr>
      <w:r>
        <w:rPr>
          <w:rFonts w:ascii="Times New Roman" w:hAnsi="Times New Roman"/>
          <w:sz w:val="24"/>
        </w:rPr>
        <w:t xml:space="preserve">12. </w:t>
      </w:r>
      <w:r>
        <w:rPr>
          <w:rFonts w:ascii="Times New Roman" w:hAnsi="Times New Roman"/>
          <w:sz w:val="24"/>
        </w:rPr>
        <w:t>Ministry of Land, Infrastructure, Transport and Tourism. National Land Numerical Information download service. https://nlftp.mlit.go.jp (accessed 10 Mar 2026).</w:t>
      </w:r>
    </w:p>
    <w:p>
      <w:pPr>
        <w:spacing w:after="0" w:line="480" w:lineRule="auto"/>
      </w:pPr>
      <w:r>
        <w:rPr>
          <w:rFonts w:ascii="Times New Roman" w:hAnsi="Times New Roman"/>
          <w:sz w:val="24"/>
        </w:rPr>
        <w:t xml:space="preserve">13. </w:t>
      </w:r>
      <w:r>
        <w:rPr>
          <w:rFonts w:ascii="Times New Roman" w:hAnsi="Times New Roman"/>
          <w:sz w:val="24"/>
        </w:rPr>
        <w:t>Seabold S, Perktold J. Statsmodels: econometric and statistical modeling with Python. In: Proceedings of the 9th Python in Science Conference. 2010:92-6.</w:t>
      </w:r>
    </w:p>
    <w:p>
      <w:pPr>
        <w:spacing w:after="0" w:line="480" w:lineRule="auto"/>
      </w:pPr>
      <w:r>
        <w:rPr>
          <w:rFonts w:ascii="Times New Roman" w:hAnsi="Times New Roman"/>
          <w:sz w:val="24"/>
        </w:rPr>
        <w:t xml:space="preserve">14. </w:t>
      </w:r>
      <w:r>
        <w:rPr>
          <w:rFonts w:ascii="Times New Roman" w:hAnsi="Times New Roman"/>
          <w:sz w:val="24"/>
        </w:rPr>
        <w:t>Greenland S. Ecologic versus individual-level sources of bias in ecologic estimates of contextual health effects. Int J Epidemiol 2001;30:1343-50.</w:t>
      </w:r>
    </w:p>
    <w:p>
      <w:pPr>
        <w:spacing w:after="0" w:line="480" w:lineRule="auto"/>
      </w:pPr>
      <w:r>
        <w:rPr>
          <w:rFonts w:ascii="Times New Roman" w:hAnsi="Times New Roman"/>
          <w:sz w:val="24"/>
        </w:rPr>
        <w:t xml:space="preserve">15. </w:t>
      </w:r>
      <w:r>
        <w:rPr>
          <w:rFonts w:ascii="Times New Roman" w:hAnsi="Times New Roman"/>
          <w:sz w:val="24"/>
        </w:rPr>
        <w:t>Wennberg JE, Fisher ES, Skinner JS. Geography and the debate over Medicare reform. Health Aff (Millwood) 2002;Suppl Web Exclusives:W96-114.</w:t>
      </w:r>
    </w:p>
    <w:p>
      <w:pPr>
        <w:spacing w:after="0" w:line="480" w:lineRule="auto"/>
      </w:pPr>
      <w:r>
        <w:rPr>
          <w:rFonts w:ascii="Times New Roman" w:hAnsi="Times New Roman"/>
          <w:sz w:val="24"/>
        </w:rPr>
        <w:t xml:space="preserve">16. </w:t>
      </w:r>
      <w:r>
        <w:rPr>
          <w:rFonts w:ascii="Times New Roman" w:hAnsi="Times New Roman"/>
          <w:sz w:val="24"/>
        </w:rPr>
        <w:t>NHS RightCare. The NHS Atlas of Variation in Healthcare. London: Public Health England, 2015.</w:t>
      </w:r>
    </w:p>
    <w:p>
      <w:pPr>
        <w:spacing w:after="0" w:line="480" w:lineRule="auto"/>
      </w:pPr>
      <w:r>
        <w:rPr>
          <w:rFonts w:ascii="Times New Roman" w:hAnsi="Times New Roman"/>
          <w:sz w:val="24"/>
        </w:rPr>
        <w:t xml:space="preserve">17. </w:t>
      </w:r>
      <w:r>
        <w:rPr>
          <w:rFonts w:ascii="Times New Roman" w:hAnsi="Times New Roman"/>
          <w:sz w:val="24"/>
        </w:rPr>
        <w:t>Schäfer T, Pritzkuleit R, Jeszenszky C, et al. Trends and geographical variation of primary hip and knee joint replacement in Germany. Osteoarthritis Cartilage 2013;21:279-88.</w:t>
      </w:r>
    </w:p>
    <w:p>
      <w:pPr>
        <w:spacing w:after="0" w:line="480" w:lineRule="auto"/>
      </w:pPr>
      <w:r>
        <w:rPr>
          <w:rFonts w:ascii="Times New Roman" w:hAnsi="Times New Roman"/>
          <w:sz w:val="24"/>
        </w:rPr>
        <w:t xml:space="preserve">18. </w:t>
      </w:r>
      <w:r>
        <w:rPr>
          <w:rFonts w:ascii="Times New Roman" w:hAnsi="Times New Roman"/>
          <w:sz w:val="24"/>
        </w:rPr>
        <w:t>Australian Commission on Safety and Quality in Health Care. Australian Atlas of Healthcare Variation. Sydney: ACSQHC, 2015.</w:t>
      </w:r>
    </w:p>
    <w:p>
      <w:pPr>
        <w:spacing w:after="0" w:line="480" w:lineRule="auto"/>
      </w:pPr>
      <w:r>
        <w:rPr>
          <w:rFonts w:ascii="Times New Roman" w:hAnsi="Times New Roman"/>
          <w:sz w:val="24"/>
        </w:rPr>
        <w:t xml:space="preserve">19. </w:t>
      </w:r>
      <w:r>
        <w:rPr>
          <w:rFonts w:ascii="Times New Roman" w:hAnsi="Times New Roman"/>
          <w:sz w:val="24"/>
        </w:rPr>
        <w:t>Otsuka T. The ikyoku system of university orthopaedic surgery departments: an in-hospital organisational system unique to Japan. J Orthop Sci 2012;17:513-14.</w:t>
      </w:r>
    </w:p>
    <w:p>
      <w:pPr>
        <w:spacing w:after="0" w:line="480" w:lineRule="auto"/>
      </w:pPr>
      <w:r>
        <w:rPr>
          <w:rFonts w:ascii="Times New Roman" w:hAnsi="Times New Roman"/>
          <w:sz w:val="24"/>
        </w:rPr>
        <w:t xml:space="preserve">20. </w:t>
      </w:r>
      <w:r>
        <w:rPr>
          <w:rFonts w:ascii="Times New Roman" w:hAnsi="Times New Roman"/>
          <w:sz w:val="24"/>
        </w:rPr>
        <w:t>Cheng T-M. Taiwan's new national health insurance program: genesis and experience so far. Health Aff (Millwood) 2003;22:61-76.</w:t>
      </w:r>
    </w:p>
    <w:p>
      <w:pPr>
        <w:spacing w:before="240" w:after="120"/>
      </w:pPr>
      <w:r>
        <w:rPr>
          <w:rFonts w:ascii="Times New Roman" w:hAnsi="Times New Roman"/>
          <w:b/>
          <w:sz w:val="26"/>
        </w:rPr>
        <w:t>FIGURE LEGENDS</w:t>
      </w:r>
    </w:p>
    <w:p>
      <w:pPr>
        <w:spacing w:before="120" w:after="240"/>
      </w:pPr>
      <w:r>
        <w:rPr>
          <w:rFonts w:ascii="Times New Roman" w:hAnsi="Times New Roman"/>
          <w:sz w:val="24"/>
        </w:rPr>
        <w:t>Figure 1. Geographic distribution of anaesthesia standardised claim ratios across 335 secondary medical areas of Japan, fiscal year 2022. (A) General anaesthesia (L008). (B) Spinal anaesthesia (L004). (C) Epidural anaesthesia as main anaesthetic (L002). (D) Continuous epidural infusion (L003). Choropleth maps shaded by quintile of the standardised claim ratio (national average = 100). Red circles mark secondary medical areas containing at least one university hospital. Areas masked by the data provider owing to low volume are shown in grey.</w:t>
      </w:r>
    </w:p>
    <w:p>
      <w:pPr>
        <w:spacing w:before="120" w:after="240"/>
      </w:pPr>
      <w:r>
        <w:rPr>
          <w:rFonts w:ascii="Times New Roman" w:hAnsi="Times New Roman"/>
          <w:sz w:val="24"/>
        </w:rPr>
        <w:t>Figure 2. University hospital presence and the combined general-anaesthesia plus continuous-epidural measure. (A) Distribution of secondary medical areas containing at least one university hospital (n = 64 of 335; red). (B) Choropleth map of the combined general-anaesthesia plus continuous-epidural standardised claim ratio (mean of L008 and L003 SCR; 331 areas with data for both codes), shaded by quintile. Red circles mark secondary medical areas containing at least one university hospital. Areas masked by the data provider for either code are shown in grey.</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