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3432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tested robustness to population density and anaesthesiologist supply, log-transformed ratios, and an upper-bound audit-rate impact.</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which is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 × (O / E)</m:t>
          </m:r>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all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3.3 Checks against the audit hypothesis</w:t>
      </w:r>
    </w:p>
    <w:p>
      <w:r>
        <w:rPr>
          <w:rFonts w:ascii="Times New Roman" w:hAnsi="Times New Roman"/>
          <w:sz w:val="24"/>
        </w:rPr>
        <w:t>Several lines of evidence pointed away from differential auditing as the main explanation. First, the multilevel model estimates that only 0.058 of general anaesthesia variance lies between prefectures, where audit policy differs, so differential auditing can account for at most a small share of observed variation. University hospital presence explained 0.358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erased as an artefact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moderate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it unlikely that differential scrutiny is the full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reflects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issues.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