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Editor-in-Chief</w:t>
      </w:r>
    </w:p>
    <w:p>
      <w:r>
        <w:t>American Journal of Human Biology</w:t>
      </w:r>
    </w:p>
    <w:p>
      <w:r>
        <w:t>Wiley</w:t>
      </w:r>
    </w:p>
    <w:p/>
    <w:p>
      <w:r>
        <w:rPr>
          <w:b/>
        </w:rPr>
        <w:t>Re: Submission of an Original Research Article</w:t>
      </w:r>
    </w:p>
    <w:p>
      <w:r>
        <w:t>Dear Editor-in-Chief,</w:t>
      </w:r>
    </w:p>
    <w:p>
      <w:r>
        <w:t>I am pleased to submit “Population structure, not special connections: a dependence-aware baseline for archaic-segment sharing across 66 human populations” for consideration as an Original Research Article in the American Journal of Human Biology.</w:t>
      </w:r>
    </w:p>
    <w:p>
      <w:r>
        <w:t>Focal-locus and special-connection interpretations of shared archaic segments are common in human population biology, yet they are seldom tested against a genome-wide baseline that respects the dependence structure of pairwise data. Using publicly archived hmmix archaic-introgression calls from 3,134 individuals in 66 populations (1000 Genomes Project and Human Genome Diversity Project), we construct such a baseline: population profiles are built so that window frequencies remain within 0-1, distance and pair-level effects are tested with population-label quadratic assignment permutations, and multiple testing is controlled with the false-discovery rate.</w:t>
      </w:r>
    </w:p>
    <w:p>
      <w:r>
        <w:t>The analysis shows a broad geographic distance-decay pattern but no population pair that survives false-discovery-rate correction and no ABO-window signal beyond the genome-wide expectation. The contribution is therefore a reusable, dependence-aware negative control against which focal-locus and special-connection archaic claims can be judged, rather than a new migration route. This methodologically oriented, population-biology framing is intended to fit the analytical and evolutionary scope of the Journal.</w:t>
      </w:r>
    </w:p>
    <w:p>
      <w:r>
        <w:t>The work is original, is not under consideration elsewhere, and uses de-identified public genomic resources. No new human participants or specimens were recruited. The manuscript explicitly discloses that no separate institutional review determination, community participation, or direct return-of-results process occurred for this secondary analysis. The author declares no conflict of interest and reports no external funding.</w:t>
      </w:r>
    </w:p>
    <w:p>
      <w:r>
        <w:t>All analysis code and derived outputs are provided through the project repository. The source archaic-introgression data, generated with hmmix (a hidden Markov model-based detection method), are publicly archived in Zenodo. The submission includes separate figure files, editable tables, and figure legends in the manuscript.</w:t>
      </w:r>
    </w:p>
    <w:p>
      <w:r>
        <w:t>Sincerely,</w:t>
      </w:r>
    </w:p>
    <w:p>
      <w:r>
        <w:t>Onishi Tatsuki</w:t>
      </w:r>
    </w:p>
    <w:p>
      <w:r>
        <w:t>Data Science and AI Innovation Research Promotion Center</w:t>
      </w:r>
    </w:p>
    <w:p>
      <w:r>
        <w:t>Email: bougtoir@gmail.com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