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Population structure, not special connections: a dependence-aware baseline for archaic-segment sharing across 66 human populations</w:t>
      </w:r>
    </w:p>
    <w:p>
      <w:pPr>
        <w:jc w:val="center"/>
      </w:pPr>
      <w:r>
        <w:rPr>
          <w:b/>
        </w:rPr>
        <w:t>Original Research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A dependence-aware archaic-sharing baseline</w:t>
      </w:r>
    </w:p>
    <w:p>
      <w:pPr>
        <w:pStyle w:val="Heading1"/>
      </w:pPr>
      <w:r>
        <w:t>Abstract</w:t>
      </w:r>
    </w:p>
    <w:p>
      <w:pPr>
        <w:spacing w:line="360" w:lineRule="auto"/>
      </w:pPr>
      <w:r>
        <w:t>Objectives: Archaic-like segments near focal loci such as the ABO blood-group gene are frequently read as clues to blood-group history, special population connections, or migration routes, yet such readings are rarely tested against a genome-wide baseline that respects the dependence structure of pairwise data. We build a reproducible, dependence-aware baseline for population-level archaic-segment sharing and use it as a negative control for exceptional-connection and focal-locus interpretations. Materials and Methods: High-confidence archaic-introgression calls from 3,134 individuals in 66 populations were obtained using hmmix, a hidden Markov model-based detection method, and summarized in 500-kilobase (kb) windows. Each individual-haplotype-window contributed at most one presence, constraining population frequencies to 0-1. Pearson similarity was calculated for 2,145 population pairs. Distance associations and pair-level residual outliers were evaluated with population-label quadratic assignment permutations and false-discovery-rate control, with sensitivity to window size, similarity metric, sample-size threshold, dataset, zero-distance pairs, and regional omission. Results: Similarity declined with distance for Neanderthal (raw r=-0.497) and Denisovan (raw r=-0.462) profiles; expanded-model partial distance correlations were -0.369 and -0.326, with population-label permutation P values of 0.0001 and 0.0002. No non-admixed pair met both z&gt;2 and false-discovery-rate q&lt;0.10, and a prespecified ABO-window scan yielded no route-level signal. Conclusions: Population-level archaic-segment sharing reflects broad geographic structure, but under dependence-aware inference it supports neither exceptional population pairs nor an ABO-mediated migration narrative. The baseline provides a reusable standard against which focal-locus archaic claims can be evaluated.</w:t>
      </w:r>
    </w:p>
    <w:p>
      <w:r>
        <w:rPr>
          <w:b/>
        </w:rPr>
        <w:t xml:space="preserve">Keywords: </w:t>
      </w:r>
      <w:r>
        <w:t>archaic introgression; Neanderthal; Denisovan; quadratic assignment procedure; ABO</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These differences invite a recurring style of inference in which shared archaic segments, often at a focal locus such as the ABO blood-group gene, are read as evidence of a special connection between two populations or of a particular migration route (Calafell et al. 2008; Halverson and Bolnick 2008; Condemi et al. 2021).</w:t>
      </w:r>
    </w:p>
    <w:p>
      <w:pPr>
        <w:ind w:firstLine="432"/>
      </w:pPr>
      <w:r>
        <w:rPr>
          <w:rFonts w:ascii="Times New Roman" w:hAnsi="Times New Roman"/>
          <w:i w:val="0"/>
          <w:sz w:val="24"/>
        </w:rPr>
        <w:t>Such claims are difficult to evaluate because pairwise profile similarity is dyadic: each of 66 populations appears in many pair rows, so the 2,145 pairs are not independent observations. Standard row-wise regressions, bootstraps, or response shuffles do not preserve this population-level dependence, and an apparently exceptional pair can arise from broad structure alone. What is generally missing is a genome-wide baseline that constructs population profiles reproducibly, tests distance and pair-level effects under a permutation scheme that respects the dependence structure, and applies explicit multiple-testing control. Quadratic assignment procedures (QAP) permute population labels on a complete matrix and provide exactly this kind of dependence-aware test (Krackhardt 1988; Dekker, Krackhardt, and Snijders 2007).</w:t>
      </w:r>
    </w:p>
    <w:p>
      <w:pPr>
        <w:ind w:firstLine="432"/>
      </w:pPr>
      <w:r>
        <w:rPr>
          <w:rFonts w:ascii="Times New Roman" w:hAnsi="Times New Roman"/>
          <w:i w:val="0"/>
          <w:sz w:val="24"/>
        </w:rPr>
        <w:t>We build such a baseline and treat it as a negative control. Using great-circle distance across 66 populations from the 1000 Genomes Project and Human Genome Diversity Project (HGDP), we test whether Neanderthal- and Denisovan-segment profile similarity declines with distance, whether any population pair is a false-discovery-rate-supported residual outlier, and whether a prespecified interval centered on the ABO blood-group locus, chosen because ABO has an unusually deep allelic history and has motivated founder-effect and archaic-background hypotheses (Segurel et al. 2012; Calafell et al. 2008; Halverson and Bolnick 2008; Condemi et al. 2021), shows anything beyond the genome-wide expectation. Robustness to alternative windows, similarity metrics, sample-size thresholds, datasets, co-located pairs, and regional omission is assessed throughout. The focal ABO analysis is prespecified as exploratory and is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segment calls generated with hmmix, a hidden Markov model-based method that detects candidate archaic sequence without requiring an unadmixed modern outgroup (Skov et al. 2018). Segment files for the 1000 Genomes Project and Human Genome Diversity Project (HGDP) samples were obtained from Zenodo record 14136628. Source population definitions followed those resources (1000 Genomes Project Consortium 2015; Bergström et al. 2020). Secure Hash Algorithm 256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500-kilobase (kb)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Puerto Ricans from Puerto Rico (PUR), Colombians from Medellín, Colombia (CLM), people with Mexican ancestry from Los Angeles, United States (MXL), or Peruvians from Lima, Peru (PEL). The model also included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to control the false discovery rate (FDR)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1-megabase (Mb)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Genome Reference Consortium Human Build 38 (GRCh38) as chromosome 9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 blood-group subtype-defining rs41302905 T allele was summarized from Ensembl/1000 Genomes frequencies and published Solomon Islands frequencies (Ohashi et al. 2006). Ancient-window observations were descriptively extracted from public outputs associated with Iasi et al. (2024); ancient and modern calls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Collective Benefit, Authority to Control, Responsibility, and Ethics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are made in the interest of transparent ethical reporting for secondary genomic analyses.</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w:t>
      </w:r>
    </w:p>
    <w:p>
      <w:pPr>
        <w:pStyle w:val="Heading2"/>
      </w:pPr>
      <w:r>
        <w:t>Population structure</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w:t>
      </w:r>
    </w:p>
    <w:p>
      <w:pPr>
        <w:pStyle w:val="Heading2"/>
      </w:pPr>
      <w:r>
        <w:t>Robustness analyses</w:t>
      </w:r>
    </w:p>
    <w:p>
      <w:pPr>
        <w:ind w:firstLine="432"/>
      </w:pPr>
      <w:r>
        <w:rPr>
          <w:rFonts w:ascii="Times New Roman" w:hAnsi="Times New Roman"/>
          <w:i w:val="0"/>
          <w:sz w:val="24"/>
        </w:rPr>
        <w:t>Negative distance correlations were examined across admixture exclusions, within-dataset subsets, minimum sample sizes, and regional omissions. Figure 3 shows the effect of excluding designated recently admixed populations, and Figure 4 shows window-size results at 250 kb, 500 kb, and 1 Mb. These analyses were treated as robustness checks rather than independent confirmatory tests.</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 (Table 1).</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247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5; Table 2).</w:t>
      </w:r>
    </w:p>
    <w:p>
      <w:pPr>
        <w:pStyle w:val="Heading2"/>
      </w:pPr>
      <w:r>
        <w:t>Contextual and schematic displays</w:t>
      </w:r>
    </w:p>
    <w:p>
      <w:pPr>
        <w:ind w:firstLine="432"/>
      </w:pPr>
      <w:r>
        <w:rPr>
          <w:rFonts w:ascii="Times New Roman" w:hAnsi="Times New Roman"/>
          <w:i w:val="0"/>
          <w:sz w:val="24"/>
        </w:rPr>
        <w:t>Several contextual and schematic displays are provided as supplementary figures because they do not derive from the pairwise analysis. A Minard-style schematic places the analysis within broad dispersal and archaic-introgression contexts, with illustrative band widths and event placement (Figure S2). The O2-defining allele and ABO-window carrier summaries use different sources and are displayed descriptively rather than as an association analysis (Figure S3). An Ancient North Eurasian pathway is retained as a testable contextual hypothesis, not a route inferred from the two Indigenous American segment records (Figure S4). Ancient and modern ABO-window observations were produced by different pipelines and permit no formal temporal comparison (Figure S5). A literature-derived global bivariate map provides broad Neanderthal and Denisovan ancestry context; its approximate values were not used in the statistical models (Figure S6).</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are used throughout the manuscript and submission materials.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but the same analysis provides no support for an exceptional population pair, an ABO-mediated migration history, or a specific route through Beringia or island Southeast Asia. The contribution is therefore less a new signal than a reproducible, dependence-aware baseline: by combining frequency-constrained profile construction, population-label QAP inference, and explicit false-discovery-rate control, it offers a reusable negative control against which focal-locus and special-connection archaic claims can be judged.</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pPr>
        <w:pStyle w:val="Heading1"/>
      </w:pPr>
      <w:r>
        <w:t>Data Availability</w:t>
      </w:r>
    </w:p>
    <w:p>
      <w:r>
        <w:t>Analysis scripts, aggregate derived data, figures, and document-generation code are available at https://github.com/bougtoir/denisovan-archaic-dna-analysis and will be fixed as release ajhb-submission-2026-07 before submission. The source hmmix segment calls are available from Zenodo record 14136628 (https://doi.org/10.5281/zenodo.14136628). Raw-file SHA-256 checksums and all analysis parameters are included in analysis_provenance.json.</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p>
      <w:pPr>
        <w:pStyle w:val="Heading1"/>
      </w:pPr>
      <w:r>
        <w:t>Figure Legends</w:t>
      </w:r>
    </w:p>
    <w:p>
      <w:pPr>
        <w:spacing w:line="360" w:lineRule="auto" w:after="160"/>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spacing w:line="360" w:lineRule="auto" w:after="160"/>
      </w:pPr>
      <w:r>
        <w:rPr>
          <w:b/>
        </w:rPr>
        <w:t xml:space="preserve">Figure 2. </w:t>
      </w:r>
      <w:r>
        <w:t>Pairwise archaic-segment profile similarity for 31 prespecified populations. The subset is displayed for legibility; all 66 populations were analyzed.</w:t>
      </w:r>
    </w:p>
    <w:p>
      <w:pPr>
        <w:spacing w:line="360" w:lineRule="auto" w:after="160"/>
      </w:pPr>
      <w:r>
        <w:rPr>
          <w:b/>
        </w:rPr>
        <w:t xml:space="preserve">Figure 3. </w:t>
      </w:r>
      <w:r>
        <w:t>Sensitivity of the descriptive Neanderthal distance correlation to exclusion of designated recently admixed populations.</w:t>
      </w:r>
    </w:p>
    <w:p>
      <w:pPr>
        <w:spacing w:line="360" w:lineRule="auto" w:after="160"/>
      </w:pPr>
      <w:r>
        <w:rPr>
          <w:b/>
        </w:rPr>
        <w:t xml:space="preserve">Figure 4. </w:t>
      </w:r>
      <w:r>
        <w:t>Descriptive geographic distance correlations at 250-kb, 500-kb, and 1-Mb window sizes. Quadratic assignment procedure results are tabulated in Supplementary Data.</w:t>
      </w:r>
    </w:p>
    <w:p>
      <w:pPr>
        <w:spacing w:line="360" w:lineRule="auto" w:after="160"/>
      </w:pPr>
      <w:r>
        <w:rPr>
          <w:b/>
        </w:rPr>
        <w:t xml:space="preserve">Figure 5. </w:t>
      </w:r>
      <w:r>
        <w:t>ABO-centered analysis preserving the historical grouped-bar and segment-map layout. Equal maximum-similarity ties are excluded from the displayed three-reference proportions and retained in Supplementary Data. The Pima segment overlaps ABO; the Maya segment is within the wider interval but does not overlap the gene. Counts are segments, not regional frequencies.</w:t>
      </w:r>
    </w:p>
    <w:p>
      <w:pPr>
        <w:pStyle w:val="Heading1"/>
      </w:pPr>
      <w:r>
        <w:t>Supporting Information Legends</w:t>
      </w:r>
    </w:p>
    <w:p>
      <w:pPr>
        <w:spacing w:line="360" w:lineRule="auto" w:after="160"/>
      </w:pPr>
      <w:r>
        <w:rPr>
          <w:b/>
        </w:rPr>
        <w:t xml:space="preserve">Figure S1. </w:t>
      </w:r>
      <w:r>
        <w:t>Complete 66-population Neanderthal and Denisovan profile-similarity matrices.</w:t>
      </w:r>
    </w:p>
    <w:p>
      <w:pPr>
        <w:spacing w:line="360" w:lineRule="auto" w:after="160"/>
      </w:pPr>
      <w:r>
        <w:rPr>
          <w:b/>
        </w:rPr>
        <w:t xml:space="preserve">Figure S2. </w:t>
      </w:r>
      <w:r>
        <w:t>Minard-style schematic of human dispersal and archaic introgression. Band widths, branch positions, and event placement are illustrative and do not estimate migration magnitude, ancestry proportion, or a route supported by the present analysis.</w:t>
      </w:r>
    </w:p>
    <w:p>
      <w:pPr>
        <w:spacing w:line="360" w:lineRule="auto" w:after="160"/>
      </w:pPr>
      <w:r>
        <w:rPr>
          <w:b/>
        </w:rPr>
        <w:t xml:space="preserve">Figure S3. </w:t>
      </w:r>
      <w:r>
        <w:t>O2 blood-group subtype-defining allele frequencies and ABO-window segment-carrier frequencies. The panels use different sources and are not an association analysis; proximity does not establish that the O2 allele is Neanderthal-derived.</w:t>
      </w:r>
    </w:p>
    <w:p>
      <w:pPr>
        <w:spacing w:line="360" w:lineRule="auto" w:after="160"/>
      </w:pPr>
      <w:r>
        <w:rPr>
          <w:b/>
        </w:rPr>
        <w:t xml:space="preserve">Figure S4. </w:t>
      </w:r>
      <w:r>
        <w:t>Ancient North Eurasian contextual hypothesis. Dashed arrows represent a testable narrative, not evidence that either observed segment followed the illustrated route.</w:t>
      </w:r>
    </w:p>
    <w:p>
      <w:pPr>
        <w:spacing w:line="360" w:lineRule="auto" w:after="160"/>
      </w:pPr>
      <w:r>
        <w:rPr>
          <w:b/>
        </w:rPr>
        <w:t xml:space="preserve">Figure S5. </w:t>
      </w:r>
      <w:r>
        <w:t>Descriptive ancient and modern ABO-window summaries generated by different pipelines; no formal temporal comparison is made.</w:t>
      </w:r>
    </w:p>
    <w:p>
      <w:pPr>
        <w:spacing w:line="360" w:lineRule="auto" w:after="160"/>
      </w:pPr>
      <w:r>
        <w:rPr>
          <w:b/>
        </w:rPr>
        <w:t xml:space="preserve">Figure S6. </w:t>
      </w:r>
      <w:r>
        <w:t>Literature-derived global context. Circle size represents approximate Neanderthal ancestry and color intensity represents approximate Denisovan ancestry. Values were not used in the pairwise statistical models.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structure, not special connections: a dependence-aware baseline for archaic-segment sharing across 66 human populations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