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3359 words</w:t>
      </w:r>
    </w:p>
    <w:p>
      <w:r>
        <w:rPr>
          <w:rFonts w:ascii="Times New Roman" w:hAnsi="Times New Roman"/>
          <w:i/>
          <w:sz w:val="24"/>
        </w:rPr>
        <w:t>Tables: 2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Health Policy</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create a natural experiment for this separation.</w:t>
      </w:r>
    </w:p>
    <w:p>
      <w:r>
        <w:rPr>
          <w:rFonts w:ascii="Times New Roman" w:hAnsi="Times New Roman"/>
          <w:sz w:val="24"/>
        </w:rPr>
        <w:t>Objective: To quantify the respective contributions of structural access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log-transformed ratios and audit rates.</w:t>
      </w:r>
    </w:p>
    <w:p>
      <w:r>
        <w:rPr>
          <w:rFonts w:ascii="Times New Roman" w:hAnsi="Times New Roman"/>
          <w:sz w:val="24"/>
        </w:rPr>
        <w:t>Results: Coefficients of variation ranged from 53.7% to 87.2%. For general anaesthesia, only 0.058 of variance lay between prefectures; university hospital presence explained 0.358 of total variance (P &lt;0.001).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efforts may need to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policy;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 × (O / E)</m:t>
          </m:r>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2.5 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four sensitivity analyses to test the audit hypothesis: within-prefecture paired comparisons of university and non-university areas; a covariate-adjusted model adding the natural logarithm of population density and the anaesthesiologist share of all physicians; an empirical Bayes shrinkage stress-test of area-level ratios toward prefecture means; and a log-transformed multilevel model to address right-skewed SCR distributions and influential outliers. No formal multiple-comparison adjustment was applied; reported p-values are nominal and should be interpreted as exploratory.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SD, standard deviation; IQR, interquartile range; CV, coefficient of variation. Primary anaesthesia codes (L009 and L100 are described in the Methods and omitted here because they were not entered into multilevel models). Areas with low claim volume are masked by the data provider and appear as missing values; the n column reflects the number of secondary medical areas with non-missing values for each code.</w:t>
      </w:r>
    </w:p>
    <w:p>
      <w:pPr>
        <w:jc w:val="center"/>
      </w:pPr>
      <w:r>
        <w:drawing>
          <wp:inline xmlns:a="http://schemas.openxmlformats.org/drawingml/2006/main" xmlns:pic="http://schemas.openxmlformats.org/drawingml/2006/picture">
            <wp:extent cx="5486400" cy="6476614"/>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486400" cy="6476614"/>
                    </a:xfrm>
                    <a:prstGeom prst="rect"/>
                  </pic:spPr>
                </pic:pic>
              </a:graphicData>
            </a:graphic>
          </wp:inline>
        </w:drawing>
      </w:r>
    </w:p>
    <w:p>
      <w:pPr>
        <w:spacing w:before="120" w:after="240"/>
      </w:pPr>
      <w:r>
        <w:rPr>
          <w:rFonts w:ascii="Times New Roman" w:hAnsi="Times New Roman"/>
          <w:b/>
          <w:sz w:val="20"/>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 xml:space="preserve">The null multilevel model showed that only 0.058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(0.358; </w:t>
      </w:r>
      <w:r>
        <w:rPr>
          <w:rFonts w:ascii="Cambria Math" w:hAnsi="Cambria Math"/>
          <w:sz w:val="24"/>
        </w:rPr>
        <m:oMath>
          <m:r>
            <m:rPr>
              <m:sty m:val="p"/>
            </m:rPr>
            <m:t xml:space="preserve">β = 64.1</m:t>
          </m:r>
        </m:oMath>
      </w:r>
      <w:r>
        <w:rPr>
          <w:rFonts w:ascii="Times New Roman" w:hAnsi="Times New Roman"/>
          <w:sz w:val="24"/>
        </w:rPr>
        <w:t>, 95% confidence interval 54.8 to 73.4) and was statistically significant for every code (all P &lt;0.001) (Table 2). A log-transformed sensitivity model yielded the same direction of association for general anaesthesia (</w:t>
      </w:r>
      <w:r>
        <w:rPr>
          <w:rFonts w:ascii="Cambria Math" w:hAnsi="Cambria Math"/>
          <w:sz w:val="24"/>
        </w:rPr>
        <m:oMath>
          <m:r>
            <m:rPr>
              <m:sty m:val="p"/>
            </m:rPr>
            <m:t xml:space="preserve">β = 0.75</m:t>
          </m:r>
        </m:oMath>
      </w:r>
      <w:r>
        <w:rPr>
          <w:rFonts w:ascii="Times New Roman" w:hAnsi="Times New Roman"/>
          <w:sz w:val="24"/>
        </w:rPr>
        <w:t>, 95% CI 0.61 to 0.89, P &lt;0.001), supporting the robustness of the linear model findings to right-skewed ratios and extreme outliers. University hospital areas had higher general anaesthesia ratios than non-university areas in 47 of 47 prefectures, with a mean within-prefecture difference of +63.3 points (</w:t>
      </w:r>
      <w:r>
        <w:rPr>
          <w:rFonts w:ascii="Cambria Math" w:hAnsi="Cambria Math"/>
          <w:sz w:val="24"/>
        </w:rPr>
        <m:oMath>
          <m:r>
            <m:rPr>
              <m:sty m:val="p"/>
            </m:rPr>
            <m:t xml:space="preserve">t = 13.28</m:t>
          </m:r>
        </m:oMath>
      </w:r>
      <w:r>
        <w:rPr>
          <w:rFonts w:ascii="Times New Roman" w:hAnsi="Times New Roman"/>
          <w:sz w:val="24"/>
        </w:rPr>
        <w:t>, P &lt;0.001)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pPr>
        <w:jc w:val="center"/>
      </w:pPr>
      <w:r>
        <w:drawing>
          <wp:inline xmlns:a="http://schemas.openxmlformats.org/drawingml/2006/main" xmlns:pic="http://schemas.openxmlformats.org/drawingml/2006/picture">
            <wp:extent cx="5486400" cy="3223724"/>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486400" cy="3223724"/>
                    </a:xfrm>
                    <a:prstGeom prst="rect"/>
                  </pic:spPr>
                </pic:pic>
              </a:graphicData>
            </a:graphic>
          </wp:inline>
        </w:drawing>
      </w:r>
    </w:p>
    <w:p>
      <w:pPr>
        <w:spacing w:before="120" w:after="240"/>
      </w:pPr>
      <w:r>
        <w:rPr>
          <w:rFonts w:ascii="Times New Roman" w:hAnsi="Times New Roman"/>
          <w:b/>
          <w:sz w:val="20"/>
        </w:rPr>
        <w:t>Figure 2. University hospital presence and the combined general-anaesthesia plus continuous-epidural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p>
      <w:pPr>
        <w:spacing w:after="0"/>
      </w:pP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w:r>
        <w:rPr>
          <w:rFonts w:ascii="Cambria Math" w:hAnsi="Cambria Math"/>
          <w:sz w:val="24"/>
        </w:rPr>
        <m:oMath>
          <m:r>
            <m:rPr>
              <m:sty m:val="p"/>
            </m:rPr>
            <m:t xml:space="preserve">β = +41.8</m:t>
          </m:r>
        </m:oMath>
      </w:r>
      <w:r>
        <w:rPr>
          <w:rFonts w:ascii="Times New Roman" w:hAnsi="Times New Roman"/>
          <w:sz w:val="24"/>
        </w:rPr>
        <w:t>, 95% CI 32.4 to 51.2, P &lt;0.001), epidural anaesthesia (</w:t>
      </w:r>
      <w:r>
        <w:rPr>
          <w:rFonts w:ascii="Cambria Math" w:hAnsi="Cambria Math"/>
          <w:sz w:val="24"/>
        </w:rPr>
        <m:oMath>
          <m:r>
            <m:rPr>
              <m:sty m:val="p"/>
            </m:rPr>
            <m:t xml:space="preserve">β = +39.1</m:t>
          </m:r>
        </m:oMath>
      </w:r>
      <w:r>
        <w:rPr>
          <w:rFonts w:ascii="Times New Roman" w:hAnsi="Times New Roman"/>
          <w:sz w:val="24"/>
        </w:rPr>
        <w:t>, 95% CI 14.5 to 63.7, P 0.002) and continuous epidural infusion (</w:t>
      </w:r>
      <w:r>
        <w:rPr>
          <w:rFonts w:ascii="Cambria Math" w:hAnsi="Cambria Math"/>
          <w:sz w:val="24"/>
        </w:rPr>
        <m:oMath>
          <m:r>
            <m:rPr>
              <m:sty m:val="p"/>
            </m:rPr>
            <m:t xml:space="preserve">β = +33.9</m:t>
          </m:r>
        </m:oMath>
      </w:r>
      <w:r>
        <w:rPr>
          <w:rFonts w:ascii="Times New Roman" w:hAnsi="Times New Roman"/>
          <w:sz w:val="24"/>
        </w:rPr>
        <w:t>, 95% CI 20.0 to 47.7, P &lt;0.001). For spinal anaesthesia the point estimate was positive but no longer statistically significant (</w:t>
      </w:r>
      <w:r>
        <w:rPr>
          <w:rFonts w:ascii="Cambria Math" w:hAnsi="Cambria Math"/>
          <w:sz w:val="24"/>
        </w:rPr>
        <m:oMath>
          <m:r>
            <m:rPr>
              <m:sty m:val="p"/>
            </m:rPr>
            <m:t xml:space="preserve">β = +9.7</m:t>
          </m:r>
        </m:oMath>
      </w:r>
      <w:r>
        <w:rPr>
          <w:rFonts w:ascii="Times New Roman" w:hAnsi="Times New Roman"/>
          <w:sz w:val="24"/>
        </w:rPr>
        <w:t>, 95% CI -4.0 to 23.3, P 0.165). Population density was positively associated with general anaesthesia ratios (</w:t>
      </w:r>
      <w:r>
        <w:rPr>
          <w:rFonts w:ascii="Cambria Math" w:hAnsi="Cambria Math"/>
          <w:sz w:val="24"/>
        </w:rPr>
        <m:oMath>
          <m:r>
            <m:rPr>
              <m:sty m:val="p"/>
            </m:rPr>
            <m:t xml:space="preserve">β = 8.3</m:t>
          </m:r>
        </m:oMath>
      </w:r>
      <w:r>
        <w:rPr>
          <w:rFonts w:ascii="Times New Roman" w:hAnsi="Times New Roman"/>
          <w:sz w:val="24"/>
        </w:rPr>
        <w:t>, P &lt;0.001) but not with the other three codes. The anaesthesiologist share was positively associated with general, epidural, continuous epidural and spinal anaesthesia (P &lt;0.001,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3.3 Sensitivity analyses against the audit hypothesis</w:t>
      </w:r>
    </w:p>
    <w:p>
      <w:r>
        <w:rPr>
          <w:rFonts w:ascii="Times New Roman" w:hAnsi="Times New Roman"/>
          <w:sz w:val="24"/>
        </w:rPr>
        <w:t>All pre-specified sensitivity analyses pointed away from differential auditing as the main explanation. First, the multilevel model estimates that only 0.058 of general anaesthesia variance lies between prefectures, where audit policy differs, so differential auditing can account for at most a small share of observed variation. University hospital presence explained 0.358 of total variance in the same model, a structural component far larger than the between-prefecture share. Second, general and spinal anaesthesia were positively correlated (</w:t>
      </w:r>
      <w:r>
        <w:rPr>
          <w:rFonts w:ascii="Cambria Math" w:hAnsi="Cambria Math"/>
          <w:sz w:val="24"/>
        </w:rPr>
        <m:oMath>
          <m:r>
            <m:rPr>
              <m:sty m:val="p"/>
            </m:rPr>
            <m:t xml:space="preserve">r = 0.235</m:t>
          </m:r>
        </m:oMath>
      </w:r>
      <w:r>
        <w:rPr>
          <w:rFonts w:ascii="Times New Roman" w:hAnsi="Times New Roman"/>
          <w:sz w:val="24"/>
        </w:rPr>
        <w:t>, P &lt;0.001), as were general and epidural anaesthesia (</w:t>
      </w:r>
      <w:r>
        <w:rPr>
          <w:rFonts w:ascii="Cambria Math" w:hAnsi="Cambria Math"/>
          <w:sz w:val="24"/>
        </w:rPr>
        <m:oMath>
          <m:r>
            <m:rPr>
              <m:sty m:val="p"/>
            </m:rPr>
            <m:t xml:space="preserve">r = 0.319</m:t>
          </m:r>
        </m:oMath>
      </w:r>
      <w:r>
        <w:rPr>
          <w:rFonts w:ascii="Times New Roman" w:hAnsi="Times New Roman"/>
          <w:sz w:val="24"/>
        </w:rPr>
        <w:t>, P &lt;0.001).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confirming that the structural effect is not artefactually erased by combining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2,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All pre-specified sensitivity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differential scrutiny an unlikely complete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may warrant targeting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reflects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6. RESEARCH IN CONTEXT</w:t>
      </w:r>
    </w:p>
    <w:p>
      <w:pPr>
        <w:pStyle w:val="ListBullet"/>
      </w:pPr>
      <w:r>
        <w:rPr>
          <w:rFonts w:ascii="Times New Roman" w:hAnsi="Times New Roman"/>
          <w:sz w:val="24"/>
        </w:rPr>
        <w:t>What is already known: Geographic variation in anaesthesia technique is well documented, but few studies have separated structural access to care from administrative coding and auditing effects in universal-coverage systems.</w:t>
      </w:r>
    </w:p>
    <w:p>
      <w:pPr>
        <w:pStyle w:val="ListBullet"/>
      </w:pPr>
      <w:r>
        <w:rPr>
          <w:rFonts w:ascii="Times New Roman" w:hAnsi="Times New Roman"/>
          <w:sz w:val="24"/>
        </w:rPr>
        <w:t>What this study adds: Across Japan's 335 secondary medical areas, university-hospital proximity was associated with large differences in standardised claim ratios, whereas prefectural claims-audit differences explained only a small share of variance.</w:t>
      </w:r>
    </w:p>
    <w:p>
      <w:pPr>
        <w:pStyle w:val="ListBullet"/>
      </w:pPr>
      <w:r>
        <w:rPr>
          <w:rFonts w:ascii="Times New Roman" w:hAnsi="Times New Roman"/>
          <w:sz w:val="24"/>
        </w:rPr>
        <w:t>What are the implications of these findings: Administrative claims can be used as a surveillance signal for perioperative variation in universal coverage settings, but low regional ratios should prompt review of workforce and organisational access before being treated as coding or fraud issues.</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