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Summary</w:t>
      </w:r>
    </w:p>
    <w:p>
      <w:pPr>
        <w:spacing w:line="360" w:lineRule="auto"/>
      </w:pPr>
      <w:r>
        <w:t>Archaic-like segments near focal loci such as the ABO blood-group gene are often read as evidence of special population connections or migration routes, yet such readings are rarely tested against a genome-wide baseline that respects the dependence structure of pairwise data. We built a reproducible baseline for population-level archaic-segment sharing and used it as a negative control. High-confidence Neanderthal and Denisovan introgression calls from 3,134 individuals in 66 populations were summarised in 500-kilobase windows, and profile similarity was computed for 2,145 population pairs. Distance associations and pair-level outliers were assessed with population-label permutation tests and false-discovery-rate control. Profile similarity declined with geographic distance for Neanderthal (r=-0.497) and Denisovan (r=-0.462) segments, with partial distance correlations of -0.369 and -0.326 and permutation P values of 0.0001 and 0.0002. No non-admixed pair reached both a residual above two standard deviations and a false-discovery rate below 0.10, and a prespecified ABO-window scan showed no route-level signal. Population-level archaic-segment sharing reflects broad geographic structure but supports neither exceptional population pairs nor an ABO-mediated migration history, providing a reusable baseline for evaluating focal-locus archaic claims.</w:t>
      </w:r>
    </w:p>
    <w:p>
      <w:r>
        <w:rPr>
          <w:b/>
        </w:rPr>
        <w:t xml:space="preserve">Keywords: </w:t>
      </w:r>
      <w:r>
        <w:t>ABO Blood-Group System; Gene Flow; Genetics, Population; Human Migration; Neanderthals</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bivariate global map summarising each population's mean Neanderthal and Denisovan segment coverage from the present profiles provides broad geographic context and was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r>
        <w:t>Funding: This research received no specific grant from any funding agency in the public, commercial, or not-for-profit sectors.</w:t>
      </w:r>
    </w:p>
    <w:p>
      <w:pPr>
        <w:pStyle w:val="Heading1"/>
      </w:pPr>
      <w:r>
        <w:t>Data Availability</w:t>
      </w:r>
    </w:p>
    <w:p>
      <w:r>
        <w:t>Analysis scripts, aggregate derived data, figures, and document-generation code are available at https://github.com/bougtoir/denisovan-archaic-dna-analysis and will be fixed as release ahg-submission-2026-07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Conflict of Interest Statement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References</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or a route supported by the present analysis. The ABO sub-lineage compositions shown are computed in this study from data/abo_sublineage_summary.csv (segments, not individuals; ties excluded from the percentages) and the South Asian Denisovan-segment count from data/abo_denisovan_segments.csv; broad archaic-ancestry ranges are attributed on the figure to Prüfer et al. (2014), Vernot and Akey (2014), Reich et al. (2011), and Meyer et al. (2012).</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Bivariate global context computed in this study. Circle area encodes the mean per-bin Neanderthal-segment coverage and colour encodes the mean per-bin Denisovan-segment coverage for each population, both from data/population_profiles_500kb.npz; coordinates are approximate sampling locations from data/population_metadata.csv. These descriptive summaries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