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Supporting Information</w:t>
      </w:r>
    </w:p>
    <w:p>
      <w:pPr>
        <w:jc w:val="center"/>
      </w:pPr>
      <w:r>
        <w:t>Population structure, not special connections: a dependence-aware baseline for archaic-segment sharing across 66 human populations</w:t>
      </w:r>
    </w:p>
    <w:p>
      <w:pPr>
        <w:spacing w:before="320"/>
      </w:pPr>
      <w:r>
        <w:rPr>
          <w:b/>
        </w:rPr>
        <w:t>Figure S1. Complete 66-population Neanderthal and Denisovan profile-similarity matrices.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6957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_full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95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20"/>
      </w:pPr>
      <w:r>
        <w:rPr>
          <w:b/>
        </w:rPr>
        <w:t>Figure S2. Minard-style schematic of human dispersal and archaic introgression. Band widths, branch positions, and event placement are illustrative and do not estimate migration magnitude or a route supported by the present analysis. The ABO sub-lineage compositions shown are computed in this study from data/abo_sublineage_summary.csv (segments, not individuals; ties excluded from the percentages) and the South Asian Denisovan-segment count from data/abo_denisovan_segments.csv; broad archaic-ancestry ranges are attributed on the figure to Prüfer et al. (2014), Vernot and Akey (2014), Reich et al. (2011), and Meyer et al. (2012).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455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minard_mig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5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20"/>
      </w:pPr>
      <w:r>
        <w:rPr>
          <w:b/>
        </w:rPr>
        <w:t>Figure S3. O2 blood-group subtype-defining allele frequencies and ABO-window segment-carrier frequencies. The panels use different sources and are not an association analysis; proximity does not establish that the O2 allele is Neanderthal-derived.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5376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o2_introgres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37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20"/>
      </w:pPr>
      <w:r>
        <w:rPr>
          <w:b/>
        </w:rPr>
        <w:t>Figure S4. Ancient North Eurasian contextual hypothesis. Dashed arrows represent a testable narrative, not evidence that either observed segment followed the illustrated route.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7339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ane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33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20"/>
      </w:pPr>
      <w:r>
        <w:rPr>
          <w:b/>
        </w:rPr>
        <w:t>Figure S5. Descriptive ancient and modern ABO-window summaries generated by different pipelines; no formal temporal comparison is made.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temporal_dynam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20"/>
      </w:pPr>
      <w:r>
        <w:rPr>
          <w:b/>
        </w:rPr>
        <w:t>Figure S6. Bivariate global context computed in this study. Circle area encodes the mean per-bin Neanderthal-segment coverage and colour encodes the mean per-bin Denisovan-segment coverage for each population, both from data/population_profiles_500kb.npz; coordinates are approximate sampling locations from data/population_metadata.csv. These descriptive summaries were not used in the pairwise statistical models.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227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bivariate_world_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22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Supplementary Data Files</w:t>
      </w:r>
    </w:p>
    <w:p>
      <w:r>
        <w:t>Supplementary Data 1: population_metadata.csv. Population, project, sample size, coordinates, continent assignment, and analysis inclusion.</w:t>
      </w:r>
    </w:p>
    <w:p>
      <w:r>
        <w:t>Supplementary Data 2: pairwise_sharing_corrected.csv. Complete pairwise similarity, geographic, covariate, residual, permutation, and false discovery rate results.</w:t>
      </w:r>
    </w:p>
    <w:p>
      <w:r>
        <w:t>Supplementary Data 3: model_summary.csv. Quadratic assignment procedure coefficients, permutation P values, descriptive R-squared values, and population-deletion intervals.</w:t>
      </w:r>
    </w:p>
    <w:p>
      <w:r>
        <w:t>Supplementary Data 4: sensitivity_analysis.csv and window_size_sensitivity.csv. Metric, population-subset, and window-size robustness summaries.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