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structural determinant or claims-audit artefact?</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[Authors and affiliations to be supplied]</w:t>
      </w:r>
    </w:p>
    <w:p>
      <w:pPr>
        <w:jc w:val="center"/>
      </w:pPr>
      <w:r>
        <w:rPr>
          <w:rFonts w:ascii="Times New Roman" w:hAnsi="Times New Roman"/>
          <w:i/>
          <w:sz w:val="24"/>
        </w:rPr>
        <w:t>[Corresponding author: name, postal address, telephone, email]</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3450 words</w:t>
      </w:r>
    </w:p>
    <w:p>
      <w:r>
        <w:rPr>
          <w:rFonts w:ascii="Times New Roman" w:hAnsi="Times New Roman"/>
          <w:i/>
          <w:sz w:val="24"/>
        </w:rPr>
        <w:t>Tables: 3   Figures: 2   References: 30</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International Journal of Health Policy and Management</w:t>
      </w:r>
    </w:p>
    <w:p>
      <w:r>
        <w:br w:type="page"/>
      </w:r>
    </w:p>
    <w:p>
      <w:pPr>
        <w:spacing w:before="0" w:after="120"/>
      </w:pPr>
      <w:r>
        <w:rPr>
          <w:rFonts w:ascii="Times New Roman" w:hAnsi="Times New Roman"/>
          <w:b/>
          <w:sz w:val="26"/>
        </w:rPr>
        <w:t>IMPLICATIONS FOR POLICY MAKERS</w:t>
      </w:r>
    </w:p>
    <w:p>
      <w:r>
        <w:rPr>
          <w:rFonts w:ascii="Times New Roman" w:hAnsi="Times New Roman"/>
          <w:sz w:val="24"/>
        </w:rPr>
        <w:t>1. Within Japan's uniform national fee schedule, regional variation in anaesthesia practice is driven by structural capacity (notably university hospital presence) rather than by prefectural claims-audit intensity.</w:t>
      </w:r>
    </w:p>
    <w:p>
      <w:r>
        <w:rPr>
          <w:rFonts w:ascii="Times New Roman" w:hAnsi="Times New Roman"/>
          <w:sz w:val="24"/>
        </w:rPr>
        <w:t>2. The four- to eight-fold variation in neuraxial and combined general-epidural anaesthesia is a modifiable equity gap that workforce, training and monitoring policies can address without changing payment rates.</w:t>
      </w:r>
    </w:p>
    <w:p>
      <w:r>
        <w:rPr>
          <w:rFonts w:ascii="Times New Roman" w:hAnsi="Times New Roman"/>
          <w:sz w:val="24"/>
        </w:rPr>
        <w:t>3. The claims-audit hypothesis is quantitatively implausible as the main driver of variation; policy responses should target supply and organisation rather than fraud control.</w:t>
      </w:r>
    </w:p>
    <w:p>
      <w:r>
        <w:rPr>
          <w:rFonts w:ascii="Times New Roman" w:hAnsi="Times New Roman"/>
          <w:sz w:val="24"/>
        </w:rPr>
        <w:t>4. Anaesthesia technique mix can be monitored as a system-level quality indicator using existing publicly available standardised claim ratios.</w:t>
      </w:r>
    </w:p>
    <w:p>
      <w:r>
        <w:rPr>
          <w:rFonts w:ascii="Times New Roman" w:hAnsi="Times New Roman"/>
          <w:sz w:val="24"/>
        </w:rPr>
        <w:t>5. The within-prefecture variance-decomposition framework is transferable to other procedures and to other universal-coverage systems that combine a uniform fee schedule with regional auditing.</w:t>
      </w:r>
    </w:p>
    <w:p>
      <w:pPr>
        <w:spacing w:before="240" w:after="120"/>
      </w:pPr>
      <w:r>
        <w:rPr>
          <w:rFonts w:ascii="Times New Roman" w:hAnsi="Times New Roman"/>
          <w:b/>
          <w:sz w:val="26"/>
        </w:rPr>
        <w:t>IMPLICATIONS FOR PUBLIC</w:t>
      </w:r>
    </w:p>
    <w:p>
      <w:r>
        <w:rPr>
          <w:rFonts w:ascii="Times New Roman" w:hAnsi="Times New Roman"/>
          <w:sz w:val="24"/>
        </w:rPr>
        <w:t>Patients in Japan are entitled to equitable access under universal health insurance, yet the likelihood of receiving a combined general-epidural anaesthetic depends strongly on whether the patient's home area contains a university hospital. This study shows that the variation is not explained by differences in claims auditing, which is uniform within each prefecture, but by the geographic distribution of specialist anaesthesia services. The findings suggest that policy attention should focus on expanding regional access to advanced anaesthesia techniques and on transparent monitoring of technique mix, rather than on tightening audits.</w:t>
      </w:r>
    </w:p>
    <w:p>
      <w:r>
        <w:br w:type="page"/>
      </w:r>
    </w:p>
    <w:p>
      <w:pPr>
        <w:jc w:val="center"/>
      </w:pPr>
      <w:r>
        <w:rPr>
          <w:rFonts w:ascii="Times New Roman" w:hAnsi="Times New Roman"/>
          <w:b/>
          <w:sz w:val="24"/>
        </w:rPr>
        <w:t>Regional variation in anaesthesia practice in Japan: structural determinant or claims-audit artefact?</w:t>
      </w:r>
    </w:p>
    <w:p>
      <w:pPr>
        <w:spacing w:after="0"/>
      </w:pPr>
    </w:p>
    <w:p>
      <w:pPr>
        <w:spacing w:before="0" w:after="120"/>
      </w:pPr>
      <w:r>
        <w:rPr>
          <w:rFonts w:ascii="Times New Roman" w:hAnsi="Times New Roman"/>
          <w:b/>
          <w:sz w:val="26"/>
        </w:rPr>
        <w:t>ABSTRACT</w:t>
      </w:r>
    </w:p>
    <w:p>
      <w:r>
        <w:rPr>
          <w:rFonts w:ascii="Times New Roman" w:hAnsi="Times New Roman"/>
          <w:sz w:val="24"/>
        </w:rPr>
        <w:t>Background  Regional variation in anaesthesia practice is well documented, but whether it reflects clinical structure or administrative auditing remains unresolved. Japan's single national fee schedule plus prefecture-specific claims auditing offers a natural experiment. We quantified variation across 335 secondary medical areas and tested the structural versus audit hypotheses.</w:t>
      </w:r>
    </w:p>
    <w:p>
      <w:r>
        <w:rPr>
          <w:rFonts w:ascii="Times New Roman" w:hAnsi="Times New Roman"/>
          <w:sz w:val="24"/>
        </w:rPr>
        <w:t>Methods  Cross-sectional ecological study using age- and sex-standardised claim ratios (national average = 100) for six anaesthesia procedure codes in fiscal year 2022. We fitted multilevel linear mixed models with prefecture random intercepts and three pre-specified sensitivity analyses to test differential auditing, plus empirical Bayes shrinkage.</w:t>
      </w:r>
    </w:p>
    <w:p>
      <w:r>
        <w:rPr>
          <w:rFonts w:ascii="Times New Roman" w:hAnsi="Times New Roman"/>
          <w:sz w:val="24"/>
        </w:rPr>
        <w:t>Results  Coefficients of variation ranged from 53.7% (general anaesthesia) to 87.2% (epidural). Only 0.058 of general anaesthesia variance lay between prefectures; university hospital presence explained 0.358 of total variance and 47.4 of within-prefecture variance (Cohen's d 1.88), and was positive in all 47 prefectures. Audit sensitivity analyses converged: the maximum audit-rate difference could shift ratios by at most 0.21 points, less than 0.4% of the interquartile range for general anaesthesia. Empirical Bayes shrinkage attenuated the university hospital effect but it remained statistically significant.</w:t>
      </w:r>
    </w:p>
    <w:p>
      <w:r>
        <w:rPr>
          <w:rFonts w:ascii="Times New Roman" w:hAnsi="Times New Roman"/>
          <w:sz w:val="24"/>
        </w:rPr>
        <w:t>Conclusion  Regional variation is predominantly structural, driven by university hospital proximity. The large variation in epidural and continuous epidural infusion signals a modifiable inequity in access to potentially beneficial regional anaesthesia under universal coverage.</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health policy; health services research; universal health coverage; Japan</w:t>
      </w:r>
    </w:p>
    <w:p>
      <w:r>
        <w:br w:type="page"/>
      </w:r>
    </w:p>
    <w:p>
      <w:pPr>
        <w:spacing w:before="0" w:after="120"/>
      </w:pPr>
      <w:r>
        <w:rPr>
          <w:rFonts w:ascii="Times New Roman" w:hAnsi="Times New Roman"/>
          <w:b/>
          <w:sz w:val="26"/>
        </w:rPr>
        <w:t>INTRODUCTION</w:t>
      </w:r>
    </w:p>
    <w:p>
      <w:r>
        <w:rPr>
          <w:rFonts w:ascii="Times New Roman" w:hAnsi="Times New Roman"/>
          <w:sz w:val="24"/>
        </w:rPr>
        <w:t>Japan's universal health insurance system, established in 1961, covers the entire population under a nationally uniform fee schedule that specifies reimbursement for every medical procedure.</w:t>
      </w:r>
      <w:r>
        <w:rPr>
          <w:rFonts w:ascii="Times New Roman" w:hAnsi="Times New Roman"/>
          <w:sz w:val="24"/>
          <w:vertAlign w:val="superscript"/>
        </w:rPr>
        <w:t>1</w:t>
      </w:r>
      <w:r>
        <w:rPr>
          <w:rFonts w:ascii="Times New Roman" w:hAnsi="Times New Roman"/>
          <w:sz w:val="24"/>
        </w:rPr>
        <w:t xml:space="preserve"> The system consistently ranks among the highest performing globally for effective service coverage</w:t>
      </w:r>
      <w:r>
        <w:rPr>
          <w:rFonts w:ascii="Times New Roman" w:hAnsi="Times New Roman"/>
          <w:sz w:val="24"/>
          <w:vertAlign w:val="superscript"/>
        </w:rPr>
        <w:t>2</w:t>
      </w:r>
      <w:r>
        <w:rPr>
          <w:rFonts w:ascii="Times New Roman" w:hAnsi="Times New Roman"/>
          <w:sz w:val="24"/>
        </w:rPr>
        <w:t xml:space="preserve"> and is delivered through a hierarchical structure of 47 prefectural (tertiary) and 335 secondary medical areas, each designed to be self-sufficient for inpatient care.</w:t>
      </w:r>
      <w:r>
        <w:rPr>
          <w:rFonts w:ascii="Times New Roman" w:hAnsi="Times New Roman"/>
          <w:sz w:val="24"/>
          <w:vertAlign w:val="superscript"/>
        </w:rPr>
        <w:t>3</w:t>
      </w:r>
      <w:r>
        <w:rPr>
          <w:rFonts w:ascii="Times New Roman" w:hAnsi="Times New Roman"/>
          <w:sz w:val="24"/>
        </w:rPr>
        <w:t xml:space="preserve"> Cross-boundary patient movement is limited: only 6.1% of inpatients receive care outside their home prefecture.</w:t>
      </w:r>
      <w:r>
        <w:rPr>
          <w:rFonts w:ascii="Times New Roman" w:hAnsi="Times New Roman"/>
          <w:sz w:val="24"/>
          <w:vertAlign w:val="superscript"/>
        </w:rPr>
        <w:t>4</w:t>
      </w:r>
      <w:r>
        <w:rPr>
          <w:rFonts w:ascii="Times New Roman" w:hAnsi="Times New Roman"/>
          <w:sz w:val="24"/>
        </w:rPr>
        <w:t xml:space="preserve"> The system was intended to ensure equitable access regardless of geography.</w:t>
      </w:r>
    </w:p>
    <w:p>
      <w:r>
        <w:rPr>
          <w:rFonts w:ascii="Times New Roman" w:hAnsi="Times New Roman"/>
          <w:sz w:val="24"/>
        </w:rPr>
        <w:t>Yet substantial regional variation in surgical procedures, prescribing and diagnostic testing has been documented through the National Database of Health Insurance Claims.</w:t>
      </w:r>
      <w:r>
        <w:rPr>
          <w:rFonts w:ascii="Times New Roman" w:hAnsi="Times New Roman"/>
          <w:sz w:val="24"/>
          <w:vertAlign w:val="superscript"/>
        </w:rPr>
        <w:t>5</w:t>
      </w:r>
      <w:r>
        <w:rPr>
          <w:rFonts w:ascii="Times New Roman" w:hAnsi="Times New Roman"/>
          <w:sz w:val="24"/>
        </w:rPr>
        <w:t xml:space="preserve"> A distinctive feature of the Japanese system is mandatory prefectural insurance auditing (shinsa): all claims are reviewed before reimbursement and audit rates vary across prefectures.</w:t>
      </w:r>
      <w:r>
        <w:rPr>
          <w:rFonts w:ascii="Times New Roman" w:hAnsi="Times New Roman"/>
          <w:sz w:val="24"/>
          <w:vertAlign w:val="superscript"/>
        </w:rPr>
        <w:t>6</w:t>
      </w:r>
      <w:r>
        <w:rPr>
          <w:rFonts w:ascii="Times New Roman" w:hAnsi="Times New Roman"/>
          <w:sz w:val="24"/>
        </w:rPr>
        <w:t xml:space="preserve"> This raises a fundamental question for health policy and governance: does the variation observed in claims data reflect genuine differences in clinical practice, or is it an artefact of differential auditing? Distinguishing between these two explanations has different implications for quality improvement, payment policy, regulation and patient equity.</w:t>
      </w:r>
    </w:p>
    <w:p>
      <w:r>
        <w:rPr>
          <w:rFonts w:ascii="Times New Roman" w:hAnsi="Times New Roman"/>
          <w:sz w:val="24"/>
        </w:rPr>
        <w:t>Anaesthesia practice is well suited to this question. Perioperative claims are comparatively complete because surgery is almost always reimbursed, so the data have high structural integrity. The choice between general anaesthesia alone and techniques that add regional anaesthesia is clinically consequential: a body of evidence suggests that regional anaesthesia, particularly epidural analgesia combined with general anaesthesia, may improve recurrence-free and overall survival in some cancer surgeries,</w:t>
      </w:r>
      <w:r>
        <w:rPr>
          <w:rFonts w:ascii="Times New Roman" w:hAnsi="Times New Roman"/>
          <w:sz w:val="24"/>
          <w:vertAlign w:val="superscript"/>
        </w:rPr>
        <w:t>7,8</w:t>
      </w:r>
      <w:r>
        <w:rPr>
          <w:rFonts w:ascii="Times New Roman" w:hAnsi="Times New Roman"/>
          <w:sz w:val="24"/>
        </w:rPr>
        <w:t xml:space="preserve"> although results from randomised trials are mixed.</w:t>
      </w:r>
      <w:r>
        <w:rPr>
          <w:rFonts w:ascii="Times New Roman" w:hAnsi="Times New Roman"/>
          <w:sz w:val="24"/>
          <w:vertAlign w:val="superscript"/>
        </w:rPr>
        <w:t>9</w:t>
      </w:r>
      <w:r>
        <w:rPr>
          <w:rFonts w:ascii="Times New Roman" w:hAnsi="Times New Roman"/>
          <w:sz w:val="24"/>
        </w:rPr>
        <w:t xml:space="preserve"> The 2026 revision of the Japanese fee schedule renamed the general anaesthesia code to clarify longstanding ambiguity in airway definitions, an ambiguity that could plausibly have driven differential audit decisions.</w:t>
      </w:r>
      <w:r>
        <w:rPr>
          <w:rFonts w:ascii="Times New Roman" w:hAnsi="Times New Roman"/>
          <w:sz w:val="24"/>
          <w:vertAlign w:val="superscript"/>
        </w:rPr>
        <w:t>10</w:t>
      </w:r>
      <w:r>
        <w:rPr>
          <w:rFonts w:ascii="Times New Roman" w:hAnsi="Times New Roman"/>
          <w:sz w:val="24"/>
        </w:rPr>
        <w:t xml:space="preserve"> Understanding whether observed regional variation is structural or administrative is therefore both timely and central to evaluating the equity of care under universal coverage.</w:t>
      </w:r>
    </w:p>
    <w:p>
      <w:r>
        <w:rPr>
          <w:rFonts w:ascii="Times New Roman" w:hAnsi="Times New Roman"/>
          <w:sz w:val="24"/>
        </w:rPr>
        <w:t>We used publicly available standardised claim ratios at the secondary medical area level to address the following research questions: (i) How large is the regional variation in anaesthesia practice across 335 areas? (ii) Is this variation explained by differential prefectural auditing? (iii) What proportion of variance lies between prefectures and between areas within prefectures? (iv) Which structural factors, including university hospital proximity, are associated with the observed variation?</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vertAlign w:val="superscript"/>
        </w:rPr>
        <w:t>30</w:t>
      </w:r>
      <w:r>
        <w:rPr>
          <w:rFonts w:ascii="Times New Roman" w:hAnsi="Times New Roman"/>
          <w:sz w:val="24"/>
        </w:rPr>
        <w:t xml:space="preserve"> which is provided as supplementary material.</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vertAlign w:val="superscript"/>
        </w:rPr>
        <w:t>3</w:t>
      </w:r>
      <w:r>
        <w:rPr>
          <w:rFonts w:ascii="Times New Roman" w:hAnsi="Times New Roman"/>
          <w:sz w:val="24"/>
        </w:rPr>
        <w:t xml:space="preserve">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vertAlign w:val="superscript"/>
        </w:rPr>
        <w:t>11</w:t>
      </w:r>
      <w:r>
        <w:rPr>
          <w:rFonts w:ascii="Times New Roman" w:hAnsi="Times New Roman"/>
          <w:sz w:val="24"/>
        </w:rPr>
        <w:t xml:space="preserve">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vertAlign w:val="superscript"/>
        </w:rPr>
        <w:t>12</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100 × (observed claims / expected claims).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vertAlign w:val="superscript"/>
        </w:rPr>
        <w:t>13</w:t>
      </w:r>
      <w:r>
        <w:rPr>
          <w:rFonts w:ascii="Times New Roman" w:hAnsi="Times New Roman"/>
          <w:sz w:val="24"/>
        </w:rPr>
        <w:t xml:space="preserve"> Third, geographic boundary data were obtained from the National Land Numerical Information dataset.</w:t>
      </w:r>
      <w:r>
        <w:rPr>
          <w:rFonts w:ascii="Times New Roman" w:hAnsi="Times New Roman"/>
          <w:sz w:val="24"/>
          <w:vertAlign w:val="superscript"/>
        </w:rPr>
        <w:t>14</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Six procedure codes from the Japanese fee schedule were analysed (Table 1): L008 (closed-circuit general anaesthesia); L002 (epidural anaesthesia as main technique); L003 (continuous epidural infusion, largely billed as adjunct to general anaesthesia); L004 (spinal anaesthesia); L009 (anaesthesia management fee I, a proxy for specialist staffing); and L100 (inpatient nerve block).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240" w:after="120"/>
      </w:pPr>
      <w:r>
        <w:rPr>
          <w:rFonts w:ascii="Times New Roman" w:hAnsi="Times New Roman"/>
          <w:b/>
          <w:sz w:val="24"/>
        </w:rPr>
        <w:t>Table 1. Anaesthesia procedure codes analysed.</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rFonts w:ascii="Times New Roman" w:hAnsi="Times New Roman"/>
                <w:b/>
                <w:sz w:val="20"/>
              </w:rPr>
              <w:t>Code</w:t>
            </w:r>
          </w:p>
        </w:tc>
        <w:tc>
          <w:tcPr>
            <w:tcW w:type="dxa" w:w="3009"/>
          </w:tcPr>
          <w:p>
            <w:r/>
            <w:r>
              <w:rPr>
                <w:rFonts w:ascii="Times New Roman" w:hAnsi="Times New Roman"/>
                <w:b/>
                <w:sz w:val="20"/>
              </w:rPr>
              <w:t>Procedure</w:t>
            </w:r>
          </w:p>
        </w:tc>
        <w:tc>
          <w:tcPr>
            <w:tcW w:type="dxa" w:w="3009"/>
          </w:tcPr>
          <w:p>
            <w:r/>
            <w:r>
              <w:rPr>
                <w:rFonts w:ascii="Times New Roman" w:hAnsi="Times New Roman"/>
                <w:b/>
                <w:sz w:val="20"/>
              </w:rPr>
              <w:t>Notes</w:t>
            </w:r>
          </w:p>
        </w:tc>
      </w:tr>
      <w:tr>
        <w:tc>
          <w:tcPr>
            <w:tcW w:type="dxa" w:w="3009"/>
          </w:tcPr>
          <w:p>
            <w:r/>
            <w:r>
              <w:rPr>
                <w:rFonts w:ascii="Times New Roman" w:hAnsi="Times New Roman"/>
                <w:sz w:val="20"/>
              </w:rPr>
              <w:t>L008</w:t>
            </w:r>
          </w:p>
        </w:tc>
        <w:tc>
          <w:tcPr>
            <w:tcW w:type="dxa" w:w="3009"/>
          </w:tcPr>
          <w:p>
            <w:r/>
            <w:r>
              <w:rPr>
                <w:rFonts w:ascii="Times New Roman" w:hAnsi="Times New Roman"/>
                <w:sz w:val="20"/>
              </w:rPr>
              <w:t>Closed-circuit general anaesthesia</w:t>
            </w:r>
          </w:p>
        </w:tc>
        <w:tc>
          <w:tcPr>
            <w:tcW w:type="dxa" w:w="3009"/>
          </w:tcPr>
          <w:p>
            <w:r/>
            <w:r>
              <w:rPr>
                <w:rFonts w:ascii="Times New Roman" w:hAnsi="Times New Roman"/>
                <w:sz w:val="20"/>
              </w:rPr>
              <w:t>Primary indicator of overall general anaesthesia volume</w:t>
            </w:r>
          </w:p>
        </w:tc>
      </w:tr>
      <w:tr>
        <w:tc>
          <w:tcPr>
            <w:tcW w:type="dxa" w:w="3009"/>
          </w:tcPr>
          <w:p>
            <w:r/>
            <w:r>
              <w:rPr>
                <w:rFonts w:ascii="Times New Roman" w:hAnsi="Times New Roman"/>
                <w:sz w:val="20"/>
              </w:rPr>
              <w:t>L002</w:t>
            </w:r>
          </w:p>
        </w:tc>
        <w:tc>
          <w:tcPr>
            <w:tcW w:type="dxa" w:w="3009"/>
          </w:tcPr>
          <w:p>
            <w:r/>
            <w:r>
              <w:rPr>
                <w:rFonts w:ascii="Times New Roman" w:hAnsi="Times New Roman"/>
                <w:sz w:val="20"/>
              </w:rPr>
              <w:t>Epidural anaesthesia</w:t>
            </w:r>
          </w:p>
        </w:tc>
        <w:tc>
          <w:tcPr>
            <w:tcW w:type="dxa" w:w="3009"/>
          </w:tcPr>
          <w:p>
            <w:r/>
            <w:r>
              <w:rPr>
                <w:rFonts w:ascii="Times New Roman" w:hAnsi="Times New Roman"/>
                <w:sz w:val="20"/>
              </w:rPr>
              <w:t>Regional technique claimed as main anaesthetic</w:t>
            </w:r>
          </w:p>
        </w:tc>
      </w:tr>
      <w:tr>
        <w:tc>
          <w:tcPr>
            <w:tcW w:type="dxa" w:w="3009"/>
          </w:tcPr>
          <w:p>
            <w:r/>
            <w:r>
              <w:rPr>
                <w:rFonts w:ascii="Times New Roman" w:hAnsi="Times New Roman"/>
                <w:sz w:val="20"/>
              </w:rPr>
              <w:t>L003</w:t>
            </w:r>
          </w:p>
        </w:tc>
        <w:tc>
          <w:tcPr>
            <w:tcW w:type="dxa" w:w="3009"/>
          </w:tcPr>
          <w:p>
            <w:r/>
            <w:r>
              <w:rPr>
                <w:rFonts w:ascii="Times New Roman" w:hAnsi="Times New Roman"/>
                <w:sz w:val="20"/>
              </w:rPr>
              <w:t>Continuous epidural infusion</w:t>
            </w:r>
          </w:p>
        </w:tc>
        <w:tc>
          <w:tcPr>
            <w:tcW w:type="dxa" w:w="3009"/>
          </w:tcPr>
          <w:p>
            <w:r/>
            <w:r>
              <w:rPr>
                <w:rFonts w:ascii="Times New Roman" w:hAnsi="Times New Roman"/>
                <w:sz w:val="20"/>
              </w:rPr>
              <w:t>Regional technique largely billed as adjunct to general anaesthesia</w:t>
            </w:r>
          </w:p>
        </w:tc>
      </w:tr>
      <w:tr>
        <w:tc>
          <w:tcPr>
            <w:tcW w:type="dxa" w:w="3009"/>
          </w:tcPr>
          <w:p>
            <w:r/>
            <w:r>
              <w:rPr>
                <w:rFonts w:ascii="Times New Roman" w:hAnsi="Times New Roman"/>
                <w:sz w:val="20"/>
              </w:rPr>
              <w:t>L004</w:t>
            </w:r>
          </w:p>
        </w:tc>
        <w:tc>
          <w:tcPr>
            <w:tcW w:type="dxa" w:w="3009"/>
          </w:tcPr>
          <w:p>
            <w:r/>
            <w:r>
              <w:rPr>
                <w:rFonts w:ascii="Times New Roman" w:hAnsi="Times New Roman"/>
                <w:sz w:val="20"/>
              </w:rPr>
              <w:t>Spinal anaesthesia</w:t>
            </w:r>
          </w:p>
        </w:tc>
        <w:tc>
          <w:tcPr>
            <w:tcW w:type="dxa" w:w="3009"/>
          </w:tcPr>
          <w:p>
            <w:r/>
            <w:r>
              <w:rPr>
                <w:rFonts w:ascii="Times New Roman" w:hAnsi="Times New Roman"/>
                <w:sz w:val="20"/>
              </w:rPr>
              <w:t>Alternative regional technique</w:t>
            </w:r>
          </w:p>
        </w:tc>
      </w:tr>
      <w:tr>
        <w:tc>
          <w:tcPr>
            <w:tcW w:type="dxa" w:w="3009"/>
          </w:tcPr>
          <w:p>
            <w:r/>
            <w:r>
              <w:rPr>
                <w:rFonts w:ascii="Times New Roman" w:hAnsi="Times New Roman"/>
                <w:sz w:val="20"/>
              </w:rPr>
              <w:t>L009</w:t>
            </w:r>
          </w:p>
        </w:tc>
        <w:tc>
          <w:tcPr>
            <w:tcW w:type="dxa" w:w="3009"/>
          </w:tcPr>
          <w:p>
            <w:r/>
            <w:r>
              <w:rPr>
                <w:rFonts w:ascii="Times New Roman" w:hAnsi="Times New Roman"/>
                <w:sz w:val="20"/>
              </w:rPr>
              <w:t>Anaesthesia management fee I</w:t>
            </w:r>
          </w:p>
        </w:tc>
        <w:tc>
          <w:tcPr>
            <w:tcW w:type="dxa" w:w="3009"/>
          </w:tcPr>
          <w:p>
            <w:r/>
            <w:r>
              <w:rPr>
                <w:rFonts w:ascii="Times New Roman" w:hAnsi="Times New Roman"/>
                <w:sz w:val="20"/>
              </w:rPr>
              <w:t>Proxy for specialist anaesthesiologist staffing</w:t>
            </w:r>
          </w:p>
        </w:tc>
      </w:tr>
      <w:tr>
        <w:tc>
          <w:tcPr>
            <w:tcW w:type="dxa" w:w="3009"/>
          </w:tcPr>
          <w:p>
            <w:r/>
            <w:r>
              <w:rPr>
                <w:rFonts w:ascii="Times New Roman" w:hAnsi="Times New Roman"/>
                <w:sz w:val="20"/>
              </w:rPr>
              <w:t>L100</w:t>
            </w:r>
          </w:p>
        </w:tc>
        <w:tc>
          <w:tcPr>
            <w:tcW w:type="dxa" w:w="3009"/>
          </w:tcPr>
          <w:p>
            <w:r/>
            <w:r>
              <w:rPr>
                <w:rFonts w:ascii="Times New Roman" w:hAnsi="Times New Roman"/>
                <w:sz w:val="20"/>
              </w:rPr>
              <w:t>Nerve block, inpatient</w:t>
            </w:r>
          </w:p>
        </w:tc>
        <w:tc>
          <w:tcPr>
            <w:tcW w:type="dxa" w:w="3009"/>
          </w:tcPr>
          <w:p>
            <w:r/>
            <w:r>
              <w:rPr>
                <w:rFonts w:ascii="Times New Roman" w:hAnsi="Times New Roman"/>
                <w:sz w:val="20"/>
              </w:rPr>
              <w:t>Indicator of pain-clinic activity</w:t>
            </w:r>
          </w:p>
        </w:tc>
      </w:tr>
    </w:tbl>
    <w:p>
      <w:pPr>
        <w:spacing w:before="120" w:after="240"/>
      </w:pPr>
      <w:r>
        <w:rPr>
          <w:rFonts w:ascii="Times New Roman" w:hAnsi="Times New Roman"/>
          <w:i/>
          <w:sz w:val="24"/>
        </w:rPr>
        <w:t>Source: Japanese fee schedule (shinryo houshu tensuhyo), fiscal year 2022. L codes correspond to anaesthesia-related procedures. Standardised claim ratios were computed for each code by indirect age- and sex-standardisation against the national average (= 100).</w:t>
      </w:r>
    </w:p>
    <w:p>
      <w:pPr>
        <w:spacing w:before="160" w:after="80"/>
      </w:pPr>
      <w:r>
        <w:rPr>
          <w:rFonts w:ascii="Times New Roman" w:hAnsi="Times New Roman"/>
          <w:b/>
          <w:sz w:val="24"/>
        </w:rPr>
        <w:t>Statistical analysis</w:t>
      </w:r>
    </w:p>
    <w:p>
      <w:r>
        <w:rPr>
          <w:rFonts w:ascii="Times New Roman" w:hAnsi="Times New Roman"/>
          <w:sz w:val="24"/>
        </w:rPr>
        <w:t>Three complementary approaches were used. First, we computed descriptive statistics including coefficients of variation. Between-group comparisons used Welch's t-test, Cohen's d for effect size</w:t>
      </w:r>
      <w:r>
        <w:rPr>
          <w:rFonts w:ascii="Times New Roman" w:hAnsi="Times New Roman"/>
          <w:sz w:val="24"/>
          <w:vertAlign w:val="superscript"/>
        </w:rPr>
        <w:t>15</w:t>
      </w:r>
      <w:r>
        <w:rPr>
          <w:rFonts w:ascii="Times New Roman" w:hAnsi="Times New Roman"/>
          <w:sz w:val="24"/>
        </w:rPr>
        <w:t xml:space="preserve"> and the Mann-Whitney U test for non-parametric confirmation. Second, we fitted multilevel linear mixed models with secondary medical areas (level 1, n = 335) nested within prefectures (level 2, n = 47).</w:t>
      </w:r>
      <w:r>
        <w:rPr>
          <w:rFonts w:ascii="Times New Roman" w:hAnsi="Times New Roman"/>
          <w:sz w:val="24"/>
          <w:vertAlign w:val="superscript"/>
        </w:rPr>
        <w:t>16</w:t>
      </w:r>
      <w:r>
        <w:rPr>
          <w:rFonts w:ascii="Times New Roman" w:hAnsi="Times New Roman"/>
          <w:sz w:val="24"/>
        </w:rPr>
        <w:t xml:space="preserve"> A null random-intercept model was fitted first to estimate the intraclass correlation coefficient. Subsequent models added fixed effects for university hospital presence. Models were estimated by restricted maximum likelihood using the Python statsmodels MixedLM implementation.</w:t>
      </w:r>
      <w:r>
        <w:rPr>
          <w:rFonts w:ascii="Times New Roman" w:hAnsi="Times New Roman"/>
          <w:sz w:val="24"/>
          <w:vertAlign w:val="superscript"/>
        </w:rPr>
        <w:t>17</w:t>
      </w:r>
      <w:r>
        <w:rPr>
          <w:rFonts w:ascii="Times New Roman" w:hAnsi="Times New Roman"/>
          <w:sz w:val="24"/>
        </w:rPr>
        <w:t xml:space="preserve"> Marginal R² was calculated as the proportional reduction in total variance from the null model. To address potential instability of ratios in low-volume areas, we applied empirical Bayes shrinkage estimation</w:t>
      </w:r>
      <w:r>
        <w:rPr>
          <w:rFonts w:ascii="Times New Roman" w:hAnsi="Times New Roman"/>
          <w:sz w:val="24"/>
          <w:vertAlign w:val="superscript"/>
        </w:rPr>
        <w:t>18</w:t>
      </w:r>
      <w:r>
        <w:rPr>
          <w:rFonts w:ascii="Times New Roman" w:hAnsi="Times New Roman"/>
          <w:sz w:val="24"/>
        </w:rPr>
        <w:t xml:space="preserve"> and compared all main findings using both raw and shrunken ratios.</w:t>
      </w:r>
    </w:p>
    <w:p>
      <w:r>
        <w:rPr>
          <w:rFonts w:ascii="Times New Roman" w:hAnsi="Times New Roman"/>
          <w:sz w:val="24"/>
        </w:rPr>
        <w:t>Third, three pre-specified sensitivity analyses tested the null hypothesis that insurance auditing explains observed variation. (a) Within-prefecture variance decomposition: under uniform prefectural auditing, within-prefecture variance should be small. We decomposed total variance using one-way analysis of variance and further partitioned the within-prefecture component into university hospital effect and residual using hierarchical sum-of-squares decomposition. (b) Cross-code correlation: audit-driven reclassification between general and spinal anaesthesia codes would produce negative correlations between them. (c) Quantitative audit-impact estimation: we calculated the maximum ratio shift attributable to the observed range of prefectural audit rates. Combined ratios (general plus continuous epidural; general plus spinal) were also examined, since combining substitutable codes should largely absorb any audit-driven reclassification. Patients were not involved in the design, conduct or reporting of this study.</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all codes (Table 2).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2.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r>
        <w:tc>
          <w:tcPr>
            <w:tcW w:type="dxa" w:w="1289"/>
          </w:tcPr>
          <w:p>
            <w:r/>
            <w:r>
              <w:rPr>
                <w:rFonts w:ascii="Times New Roman" w:hAnsi="Times New Roman"/>
                <w:sz w:val="20"/>
              </w:rPr>
              <w:t>L009</w:t>
            </w:r>
          </w:p>
        </w:tc>
        <w:tc>
          <w:tcPr>
            <w:tcW w:type="dxa" w:w="1289"/>
          </w:tcPr>
          <w:p>
            <w:r/>
            <w:r>
              <w:rPr>
                <w:rFonts w:ascii="Times New Roman" w:hAnsi="Times New Roman"/>
                <w:sz w:val="20"/>
              </w:rPr>
              <w:t>314</w:t>
            </w:r>
          </w:p>
        </w:tc>
        <w:tc>
          <w:tcPr>
            <w:tcW w:type="dxa" w:w="1289"/>
          </w:tcPr>
          <w:p>
            <w:r/>
            <w:r>
              <w:rPr>
                <w:rFonts w:ascii="Times New Roman" w:hAnsi="Times New Roman"/>
                <w:sz w:val="20"/>
              </w:rPr>
              <w:t>87.3 (49.9)</w:t>
            </w:r>
          </w:p>
        </w:tc>
        <w:tc>
          <w:tcPr>
            <w:tcW w:type="dxa" w:w="1289"/>
          </w:tcPr>
          <w:p>
            <w:r/>
            <w:r>
              <w:rPr>
                <w:rFonts w:ascii="Times New Roman" w:hAnsi="Times New Roman"/>
                <w:sz w:val="20"/>
              </w:rPr>
              <w:t>78.9 (51.4-116.5)</w:t>
            </w:r>
          </w:p>
        </w:tc>
        <w:tc>
          <w:tcPr>
            <w:tcW w:type="dxa" w:w="1289"/>
          </w:tcPr>
          <w:p>
            <w:r/>
            <w:r>
              <w:rPr>
                <w:rFonts w:ascii="Times New Roman" w:hAnsi="Times New Roman"/>
                <w:sz w:val="20"/>
              </w:rPr>
              <w:t>0.1</w:t>
            </w:r>
          </w:p>
        </w:tc>
        <w:tc>
          <w:tcPr>
            <w:tcW w:type="dxa" w:w="1289"/>
          </w:tcPr>
          <w:p>
            <w:r/>
            <w:r>
              <w:rPr>
                <w:rFonts w:ascii="Times New Roman" w:hAnsi="Times New Roman"/>
                <w:sz w:val="20"/>
              </w:rPr>
              <w:t>392.2</w:t>
            </w:r>
          </w:p>
        </w:tc>
        <w:tc>
          <w:tcPr>
            <w:tcW w:type="dxa" w:w="1289"/>
          </w:tcPr>
          <w:p>
            <w:r/>
            <w:r>
              <w:rPr>
                <w:rFonts w:ascii="Times New Roman" w:hAnsi="Times New Roman"/>
                <w:sz w:val="20"/>
              </w:rPr>
              <w:t>57.2</w:t>
            </w:r>
          </w:p>
        </w:tc>
      </w:tr>
      <w:tr>
        <w:tc>
          <w:tcPr>
            <w:tcW w:type="dxa" w:w="1289"/>
          </w:tcPr>
          <w:p>
            <w:r/>
            <w:r>
              <w:rPr>
                <w:rFonts w:ascii="Times New Roman" w:hAnsi="Times New Roman"/>
                <w:sz w:val="20"/>
              </w:rPr>
              <w:t>L100</w:t>
            </w:r>
          </w:p>
        </w:tc>
        <w:tc>
          <w:tcPr>
            <w:tcW w:type="dxa" w:w="1289"/>
          </w:tcPr>
          <w:p>
            <w:r/>
            <w:r>
              <w:rPr>
                <w:rFonts w:ascii="Times New Roman" w:hAnsi="Times New Roman"/>
                <w:sz w:val="20"/>
              </w:rPr>
              <w:t>335</w:t>
            </w:r>
          </w:p>
        </w:tc>
        <w:tc>
          <w:tcPr>
            <w:tcW w:type="dxa" w:w="1289"/>
          </w:tcPr>
          <w:p>
            <w:r/>
            <w:r>
              <w:rPr>
                <w:rFonts w:ascii="Times New Roman" w:hAnsi="Times New Roman"/>
                <w:sz w:val="20"/>
              </w:rPr>
              <w:t>99.8 (77.1)</w:t>
            </w:r>
          </w:p>
        </w:tc>
        <w:tc>
          <w:tcPr>
            <w:tcW w:type="dxa" w:w="1289"/>
          </w:tcPr>
          <w:p>
            <w:r/>
            <w:r>
              <w:rPr>
                <w:rFonts w:ascii="Times New Roman" w:hAnsi="Times New Roman"/>
                <w:sz w:val="20"/>
              </w:rPr>
              <w:t>77.8 (43.7-125.9)</w:t>
            </w:r>
          </w:p>
        </w:tc>
        <w:tc>
          <w:tcPr>
            <w:tcW w:type="dxa" w:w="1289"/>
          </w:tcPr>
          <w:p>
            <w:r/>
            <w:r>
              <w:rPr>
                <w:rFonts w:ascii="Times New Roman" w:hAnsi="Times New Roman"/>
                <w:sz w:val="20"/>
              </w:rPr>
              <w:t>3.0</w:t>
            </w:r>
          </w:p>
        </w:tc>
        <w:tc>
          <w:tcPr>
            <w:tcW w:type="dxa" w:w="1289"/>
          </w:tcPr>
          <w:p>
            <w:r/>
            <w:r>
              <w:rPr>
                <w:rFonts w:ascii="Times New Roman" w:hAnsi="Times New Roman"/>
                <w:sz w:val="20"/>
              </w:rPr>
              <w:t>433.3</w:t>
            </w:r>
          </w:p>
        </w:tc>
        <w:tc>
          <w:tcPr>
            <w:tcW w:type="dxa" w:w="1289"/>
          </w:tcPr>
          <w:p>
            <w:r/>
            <w:r>
              <w:rPr>
                <w:rFonts w:ascii="Times New Roman" w:hAnsi="Times New Roman"/>
                <w:sz w:val="20"/>
              </w:rPr>
              <w:t>77.3</w:t>
            </w:r>
          </w:p>
        </w:tc>
      </w:tr>
    </w:tbl>
    <w:p>
      <w:pPr>
        <w:spacing w:before="120" w:after="240"/>
      </w:pPr>
      <w:r>
        <w:rPr>
          <w:rFonts w:ascii="Times New Roman" w:hAnsi="Times New Roman"/>
          <w:i/>
          <w:sz w:val="24"/>
        </w:rPr>
        <w:t>SD, standard deviation; IQR, interquartile range; CV, coefficient of variation. Areas with low claim volume are masked by the data provider and appear as missing values; the n column reflects the number of secondary medical areas with non-missing values for each code.</w:t>
      </w:r>
    </w:p>
    <w:p>
      <w:pPr>
        <w:spacing w:before="240" w:after="120"/>
      </w:pPr>
      <w:r>
        <w:rPr>
          <w:rFonts w:ascii="Times New Roman" w:hAnsi="Times New Roman"/>
          <w:b/>
          <w:sz w:val="24"/>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jc w:val="center"/>
      </w:pPr>
      <w:r>
        <w:drawing>
          <wp:inline xmlns:a="http://schemas.openxmlformats.org/drawingml/2006/main" xmlns:pic="http://schemas.openxmlformats.org/drawingml/2006/picture">
            <wp:extent cx="5760720" cy="6795010"/>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760720" cy="6795010"/>
                    </a:xfrm>
                    <a:prstGeom prst="rect"/>
                  </pic:spPr>
                </pic:pic>
              </a:graphicData>
            </a:graphic>
          </wp:inline>
        </w:drawing>
      </w:r>
    </w:p>
    <w:p>
      <w:pPr>
        <w:spacing w:after="0"/>
      </w:pP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0.058 of general anaesthesia variance was attributable to the prefecture level (intraclass correlation coefficient 0.058), indicating that 85.5%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improvement for general anaesthesia (marginal R² 0.358; β = 64.1, 95% confidence interval 54.8 to 73.4) and was statistically significant for every code (all P &lt;0.001) (Table 3). University hospital areas had higher general anaesthesia ratios than non-university areas in 47 of 47 prefectures, with a mean within-prefecture difference of +63.3 points (paired t = 13.28, P &lt;0.001) (Figure 2A). Cohen's d for the university hospital effect on general anaesthesia was 1.88; on continuous epidural infusion 1.12; on epidural anaesthesia 0.59; and on spinal anaesthesia 0.40. A combined measure capturing the general-anaesthesia plus continuous-epidural workflow (mean of L008 and L003 SCR; 331 areas with data for both codes)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3.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Marginal R²</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Marginal R², proportional reduction in total (prefecture + residual) variance from the null model after adding the university hospital fixed effect. Models were estimated by restricted maximum likelihood.</w:t>
      </w:r>
    </w:p>
    <w:p>
      <w:pPr>
        <w:spacing w:before="240" w:after="120"/>
      </w:pPr>
      <w:r>
        <w:rPr>
          <w:rFonts w:ascii="Times New Roman" w:hAnsi="Times New Roman"/>
          <w:b/>
          <w:sz w:val="24"/>
        </w:rPr>
        <w:t>Figure 2. University hospital presence and the combined general-anaesthesia plus continuous-epidural measure. (A) Distribution of secondary medical areas containing at least one university hospital (n = 64 of 335; red). (B) Choropleth map of the combined general-anaesthesia plus continuous-epidural standardised claim ratio (mean of L008 and L003 SCR; 331 areas with data for both codes), shaded by quintile. Red circles mark secondary medical areas containing at least one university hospital. Areas masked by the data provider for either code are shown in grey.</w:t>
      </w:r>
    </w:p>
    <w:p>
      <w:pPr>
        <w:jc w:val="center"/>
      </w:pPr>
      <w:r>
        <w:drawing>
          <wp:inline xmlns:a="http://schemas.openxmlformats.org/drawingml/2006/main" xmlns:pic="http://schemas.openxmlformats.org/drawingml/2006/picture">
            <wp:extent cx="5760720" cy="3384910"/>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760720" cy="3384910"/>
                    </a:xfrm>
                    <a:prstGeom prst="rect"/>
                  </pic:spPr>
                </pic:pic>
              </a:graphicData>
            </a:graphic>
          </wp:inline>
        </w:drawing>
      </w:r>
    </w:p>
    <w:p>
      <w:pPr>
        <w:spacing w:after="0"/>
      </w:pPr>
    </w:p>
    <w:p>
      <w:pPr>
        <w:spacing w:before="160" w:after="80"/>
      </w:pPr>
      <w:r>
        <w:rPr>
          <w:rFonts w:ascii="Times New Roman" w:hAnsi="Times New Roman"/>
          <w:b/>
          <w:sz w:val="24"/>
        </w:rPr>
        <w:t>Sensitivity analyses against the audit hypothesis</w:t>
      </w:r>
    </w:p>
    <w:p>
      <w:r>
        <w:rPr>
          <w:rFonts w:ascii="Times New Roman" w:hAnsi="Times New Roman"/>
          <w:sz w:val="24"/>
        </w:rPr>
        <w:t>All three pre-specified sensitivity analyses converged in rejecting the audit hypothesis. First, within-prefecture variance decomposition attributed 14.5% of general anaesthesia variance to between-prefecture differences, 40.5% to the university hospital effect within prefecture, and 45.0% to residual within-group variation; the university hospital effect alone explained 47.4% of all within-prefecture variance. Second, general and spinal anaesthesia were positively, not negatively, correlated (r = 0.235, P &lt;0.001), as were general and epidural anaesthesia (r = 0.319, P &lt;0.001), inconsistent with audit-driven reclassification and consistent with a common supply factor. Third, the maximum prefectural audit-rate difference of 0.21 percentage points could produce a ratio shift of approximately 0.21 points, which is less than 0.4% of the observed interquartile range for general anaesthesia and 0.2% for epidural anaesthesia. Combining general (L008) and spinal (L004) ratios produced an alternative audit-insensitive measure with a coefficient of variation of 43.4% and a university hospital effect that remained large (Cohen's d 1.26), confirming that the structural effect is not artefactually erased by combining reclassifiable codes.</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of moderate magnitude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3,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Statement of principal findings</w:t>
      </w:r>
    </w:p>
    <w:p>
      <w:r>
        <w:rPr>
          <w:rFonts w:ascii="Times New Roman" w:hAnsi="Times New Roman"/>
          <w:sz w:val="24"/>
        </w:rPr>
        <w:t>Regional variation in anaesthesia practice across Japan's 335 secondary medical areas is substantial, with coefficients of variation ranging from 53.7% for general anaesthesia to 87.2% for epidural anaesthesia. Multilevel modelling showed that only 0.058 of general anaesthesia variance is attributable to prefectures, while 85.5% occurs within prefectures where audit policy is uniform. University hospital presence explained 0.358 of total variance and 47.4% of within-prefecture variance, and the effect was present in all 47 prefectures despite differing audit practices. Three independent sensitivity analyses converged in rejecting differential auditing as a plausible explanation. The observed variation is therefore predominantly structural, driven by institutional capacity and clinical-organisational factors rather than by administrative coding.</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multilevel modelling that properly accounts for the nested data structure; empirical Bayes shrinkage to address low-volume instability; multiple pre-specified sensitivity analyses; within-prefecture comparisons that hold audit policy constant; and the residence-based ratio definition that mitigates patient travel effects. Limitations include the ecological fallacy inherent in area-level analysis;</w:t>
      </w:r>
      <w:r>
        <w:rPr>
          <w:rFonts w:ascii="Times New Roman" w:hAnsi="Times New Roman"/>
          <w:sz w:val="24"/>
          <w:vertAlign w:val="superscript"/>
        </w:rPr>
        <w:t>19</w:t>
      </w:r>
      <w:r>
        <w:rPr>
          <w:rFonts w:ascii="Times New Roman" w:hAnsi="Times New Roman"/>
          <w:sz w:val="24"/>
        </w:rPr>
        <w:t xml:space="preserve"> the cross-sectional design, which precludes causal inference; the post-audit nature of the data, which reflects reimbursed rather than intended practice; the partial overlap between university hospital presence and urban concentration; the absence of code-specific audit-rate data; and the inability to quantify defensive undercoding from claims alone. A specific constraint of the publicly available dataset is that the combined anaesthesia add-on billed under L008 (the explicit code for general-plus-epidural technique) is aggregated with other anaesthesia add-ons in the regional variation data release and cannot be extracted separately at the secondary-medical-area level; patient-level National Database records would be required to measure the true rate of combined general-epidural anaesthesia. We therefore used L002 (epidural as main technique) and L003 (continuous epidural infusion) as the publicly reported proxies for regional technique use. Multilevel models included only university hospital presence as a structural fixed effect; future work should add additional area-level covariates such as urbanisation, bed density and case-mix indicators.</w:t>
      </w:r>
    </w:p>
    <w:p>
      <w:pPr>
        <w:spacing w:before="160" w:after="80"/>
      </w:pPr>
      <w:r>
        <w:rPr>
          <w:rFonts w:ascii="Times New Roman" w:hAnsi="Times New Roman"/>
          <w:b/>
          <w:sz w:val="24"/>
        </w:rPr>
        <w:t>Interpretation within the context of the wider literature</w:t>
      </w:r>
    </w:p>
    <w:p>
      <w:r>
        <w:rPr>
          <w:rFonts w:ascii="Times New Roman" w:hAnsi="Times New Roman"/>
          <w:sz w:val="24"/>
        </w:rPr>
        <w:t>Our findings are consistent with the broader medical practice variation literature. The Dartmouth Atlas project documented extensive regional variation in surgical rates in the United States, driven primarily by physician supply and practice style.</w:t>
      </w:r>
      <w:r>
        <w:rPr>
          <w:rFonts w:ascii="Times New Roman" w:hAnsi="Times New Roman"/>
          <w:sz w:val="24"/>
          <w:vertAlign w:val="superscript"/>
        </w:rPr>
        <w:t>20</w:t>
      </w:r>
      <w:r>
        <w:rPr>
          <w:rFonts w:ascii="Times New Roman" w:hAnsi="Times New Roman"/>
          <w:sz w:val="24"/>
        </w:rPr>
        <w:t xml:space="preserve"> Comparable patterns have been described for the National Health Service</w:t>
      </w:r>
      <w:r>
        <w:rPr>
          <w:rFonts w:ascii="Times New Roman" w:hAnsi="Times New Roman"/>
          <w:sz w:val="24"/>
          <w:vertAlign w:val="superscript"/>
        </w:rPr>
        <w:t>21</w:t>
      </w:r>
      <w:r>
        <w:rPr>
          <w:rFonts w:ascii="Times New Roman" w:hAnsi="Times New Roman"/>
          <w:sz w:val="24"/>
        </w:rPr>
        <w:t xml:space="preserve"> and in Germany</w:t>
      </w:r>
      <w:r>
        <w:rPr>
          <w:rFonts w:ascii="Times New Roman" w:hAnsi="Times New Roman"/>
          <w:sz w:val="24"/>
          <w:vertAlign w:val="superscript"/>
        </w:rPr>
        <w:t>22</w:t>
      </w:r>
      <w:r>
        <w:rPr>
          <w:rFonts w:ascii="Times New Roman" w:hAnsi="Times New Roman"/>
          <w:sz w:val="24"/>
        </w:rPr>
        <w:t xml:space="preserve"> and Australia.</w:t>
      </w:r>
      <w:r>
        <w:rPr>
          <w:rFonts w:ascii="Times New Roman" w:hAnsi="Times New Roman"/>
          <w:sz w:val="24"/>
          <w:vertAlign w:val="superscript"/>
        </w:rPr>
        <w:t>23</w:t>
      </w:r>
      <w:r>
        <w:rPr>
          <w:rFonts w:ascii="Times New Roman" w:hAnsi="Times New Roman"/>
          <w:sz w:val="24"/>
        </w:rPr>
        <w:t xml:space="preserve"> Our study extends this evidence by exploiting Japan's uniquely uniform fee schedule combined with prefecture-specific auditing to disentangle administrative and clinical sources of variation, and by providing the first multilevel small-area analysis of anaesthesia technique under universal coverage in East Asia. The university hospital effect we report (Cohen's d = 1.88) is unusually large compared with effect sizes typically reported in this literature, plausibly reflecting the influence of the ikyoku (university medical office) system on clinical practice in affiliated hospitals.</w:t>
      </w:r>
      <w:r>
        <w:rPr>
          <w:rFonts w:ascii="Times New Roman" w:hAnsi="Times New Roman"/>
          <w:sz w:val="24"/>
          <w:vertAlign w:val="superscript"/>
        </w:rPr>
        <w:t>24</w:t>
      </w:r>
      <w:r>
        <w:rPr>
          <w:rFonts w:ascii="Times New Roman" w:hAnsi="Times New Roman"/>
          <w:sz w:val="24"/>
        </w:rPr>
        <w:t xml:space="preserve"> The intraclass correlation coefficient of 0.058 for general anaesthesia is also noticeably lower than coefficients reported for surgical procedure rates in the United States,</w:t>
      </w:r>
      <w:r>
        <w:rPr>
          <w:rFonts w:ascii="Times New Roman" w:hAnsi="Times New Roman"/>
          <w:sz w:val="24"/>
          <w:vertAlign w:val="superscript"/>
        </w:rPr>
        <w:t>20</w:t>
      </w:r>
      <w:r>
        <w:rPr>
          <w:rFonts w:ascii="Times New Roman" w:hAnsi="Times New Roman"/>
          <w:sz w:val="24"/>
        </w:rPr>
        <w:t xml:space="preserve"> indicating that within-prefecture institutional factors dominate over prefectural-level factors for this code.</w:t>
      </w:r>
    </w:p>
    <w:p>
      <w:r>
        <w:rPr>
          <w:rFonts w:ascii="Times New Roman" w:hAnsi="Times New Roman"/>
          <w:sz w:val="24"/>
        </w:rPr>
        <w:t>Our findings and framework extend beyond Japan in four respects. First, the within-prefecture variance decomposition we describe is directly transportable to other universal-coverage systems that combine a centrally uniform fee schedule with regionally devolved claims auditing, including Taiwan's National Health Insurance,</w:t>
      </w:r>
      <w:r>
        <w:rPr>
          <w:rFonts w:ascii="Times New Roman" w:hAnsi="Times New Roman"/>
          <w:sz w:val="24"/>
          <w:vertAlign w:val="superscript"/>
        </w:rPr>
        <w:t>25</w:t>
      </w:r>
      <w:r>
        <w:rPr>
          <w:rFonts w:ascii="Times New Roman" w:hAnsi="Times New Roman"/>
          <w:sz w:val="24"/>
        </w:rPr>
        <w:t xml:space="preserve"> South Korea's National Health Insurance Service, and the tariff-based systems of Germany, France and the English National Health Service.</w:t>
      </w:r>
      <w:r>
        <w:rPr>
          <w:rFonts w:ascii="Times New Roman" w:hAnsi="Times New Roman"/>
          <w:sz w:val="24"/>
          <w:vertAlign w:val="superscript"/>
        </w:rPr>
        <w:t>21,22</w:t>
      </w:r>
      <w:r>
        <w:rPr>
          <w:rFonts w:ascii="Times New Roman" w:hAnsi="Times New Roman"/>
          <w:sz w:val="24"/>
        </w:rPr>
        <w:t xml:space="preserve"> Second, the dominance of tertiary-teaching-hospital concentration as a structural determinant of technique choice echoes analogous patterns for teaching-hospital anaesthesia mix reported in the US and United Kingdom,</w:t>
      </w:r>
      <w:r>
        <w:rPr>
          <w:rFonts w:ascii="Times New Roman" w:hAnsi="Times New Roman"/>
          <w:sz w:val="24"/>
          <w:vertAlign w:val="superscript"/>
        </w:rPr>
        <w:t>20,21</w:t>
      </w:r>
      <w:r>
        <w:rPr>
          <w:rFonts w:ascii="Times New Roman" w:hAnsi="Times New Roman"/>
          <w:sz w:val="24"/>
        </w:rPr>
        <w:t xml:space="preserve"> and for other tertiary-intensive specialties across OECD countries;</w:t>
      </w:r>
      <w:r>
        <w:rPr>
          <w:rFonts w:ascii="Times New Roman" w:hAnsi="Times New Roman"/>
          <w:sz w:val="24"/>
          <w:vertAlign w:val="superscript"/>
        </w:rPr>
        <w:t>26</w:t>
      </w:r>
      <w:r>
        <w:rPr>
          <w:rFonts w:ascii="Times New Roman" w:hAnsi="Times New Roman"/>
          <w:sz w:val="24"/>
        </w:rPr>
        <w:t xml:space="preserve"> the consistency of the university effect across 47 of 47 prefectures in our data suggests that it is a robust feature of high-income health systems rather than a Japanese idiosyncrasy. Third, the variation we identify in epidural anaesthesia (L002, coefficient of variation 87.2%) and continuous epidural infusion (L003, 65.0%) speaks to an international equity agenda: where emerging evidence links regional anaesthesia to oncological and functional outcomes,</w:t>
      </w:r>
      <w:r>
        <w:rPr>
          <w:rFonts w:ascii="Times New Roman" w:hAnsi="Times New Roman"/>
          <w:sz w:val="24"/>
          <w:vertAlign w:val="superscript"/>
        </w:rPr>
        <w:t>7-9</w:t>
      </w:r>
      <w:r>
        <w:rPr>
          <w:rFonts w:ascii="Times New Roman" w:hAnsi="Times New Roman"/>
          <w:sz w:val="24"/>
        </w:rPr>
        <w:t xml:space="preserve"> monitoring the distribution of anaesthesia techniques could serve as a system-level quality indicator across any universal coverage setting committed to equitable access to technology-rich care.</w:t>
      </w:r>
      <w:r>
        <w:rPr>
          <w:rFonts w:ascii="Times New Roman" w:hAnsi="Times New Roman"/>
          <w:sz w:val="24"/>
          <w:vertAlign w:val="superscript"/>
        </w:rPr>
        <w:t>27,28</w:t>
      </w:r>
      <w:r>
        <w:rPr>
          <w:rFonts w:ascii="Times New Roman" w:hAnsi="Times New Roman"/>
          <w:sz w:val="24"/>
        </w:rPr>
        <w:t xml:space="preserve"> Fourth, extrapolation to low- and middle-income countries is more cautious: fee schedules and audit arrangements are typically heterogeneous and claims data often incomplete, which limits direct replication of the decomposition. Nevertheless, the general principle — that apparent small-area variation should be interrogated for administrative versus structural origins before policy action — is transferable, particularly as low- and middle-income countries progressively standardise their fee schedules under universal health coverage reforms.</w:t>
      </w:r>
      <w:r>
        <w:rPr>
          <w:rFonts w:ascii="Times New Roman" w:hAnsi="Times New Roman"/>
          <w:sz w:val="24"/>
          <w:vertAlign w:val="superscript"/>
        </w:rPr>
        <w:t>2</w:t>
      </w:r>
    </w:p>
    <w:p>
      <w:pPr>
        <w:spacing w:before="160" w:after="80"/>
      </w:pPr>
      <w:r>
        <w:rPr>
          <w:rFonts w:ascii="Times New Roman" w:hAnsi="Times New Roman"/>
          <w:b/>
          <w:sz w:val="24"/>
        </w:rPr>
        <w:t>Implications for policy, practice and governance</w:t>
      </w:r>
    </w:p>
    <w:p>
      <w:r>
        <w:rPr>
          <w:rFonts w:ascii="Times New Roman" w:hAnsi="Times New Roman"/>
          <w:sz w:val="24"/>
        </w:rPr>
        <w:t>The policy implications of these findings are threefold. First, the predominance of structural over administrative determinants means that regulators should not interpret regional variation in anaesthesia claims as prima facie evidence of differential coding accuracy or fraud. Japan's prefecture-specific auditing system is an important governance tool, but its variation in intensity is too small to explain the observed four- to eight-fold differences in neuraxial technique use. Redirecting enforcement resources toward coding audits in low-ratio areas is unlikely to reduce the gap and may even penalise providers who already lack specialist capacity.</w:t>
      </w:r>
    </w:p>
    <w:p>
      <w:r>
        <w:rPr>
          <w:rFonts w:ascii="Times New Roman" w:hAnsi="Times New Roman"/>
          <w:sz w:val="24"/>
        </w:rPr>
        <w:t>Second, the marked variation in continuous epidural infusion (L003; coefficient of variation 65.0%) and in epidural anaesthesia (L002; 87.2%) is clinically important because general anaesthesia supplemented with regional techniques has been linked, albeit inconsistently, with better oncological outcomes.</w:t>
      </w:r>
      <w:r>
        <w:rPr>
          <w:rFonts w:ascii="Times New Roman" w:hAnsi="Times New Roman"/>
          <w:sz w:val="24"/>
          <w:vertAlign w:val="superscript"/>
        </w:rPr>
        <w:t>7-9</w:t>
      </w:r>
      <w:r>
        <w:rPr>
          <w:rFonts w:ascii="Times New Roman" w:hAnsi="Times New Roman"/>
          <w:sz w:val="24"/>
        </w:rPr>
        <w:t xml:space="preserve"> A 1.77-fold difference in continuous epidural infusion ratios between university and non-university areas implies that patients' access to a potentially beneficial technique depends substantially on where they live, which challenges the equity premise of Japan's universal coverage. Quality improvement responses could include targeted education, specialist outreach from university centres, and monitoring anaesthesia technique distribution as a system-level quality indicator,</w:t>
      </w:r>
      <w:r>
        <w:rPr>
          <w:rFonts w:ascii="Times New Roman" w:hAnsi="Times New Roman"/>
          <w:sz w:val="24"/>
          <w:vertAlign w:val="superscript"/>
        </w:rPr>
        <w:t>27-29</w:t>
      </w:r>
      <w:r>
        <w:rPr>
          <w:rFonts w:ascii="Times New Roman" w:hAnsi="Times New Roman"/>
          <w:sz w:val="24"/>
        </w:rPr>
        <w:t xml:space="preserve"> aligned with international standards for safe practice of anaesthesia.</w:t>
      </w:r>
    </w:p>
    <w:p>
      <w:r>
        <w:rPr>
          <w:rFonts w:ascii="Times New Roman" w:hAnsi="Times New Roman"/>
          <w:sz w:val="24"/>
        </w:rPr>
        <w:t>Third, the within-prefecture variance decomposition and multilevel sensitivity framework developed here provide a transferable governance tool for distinguishing administrative from structural sources of small-area variation. In a single-payer system with a uniform fee schedule, any procedure that shows large within-prefecture variation cannot be attributed to the audit environment and should prompt policy review of workforce, training and facility capacity. Conversely, large between-prefecture variation may warrant regulatory attention to payment, audit or coding practices. Applying this framework to other procedure groups could improve the targeting of both quality-improvement and regulatory resources.</w:t>
      </w:r>
    </w:p>
    <w:p>
      <w:pPr>
        <w:spacing w:before="240" w:after="120"/>
      </w:pPr>
      <w:r>
        <w:rPr>
          <w:rFonts w:ascii="Times New Roman" w:hAnsi="Times New Roman"/>
          <w:b/>
          <w:sz w:val="26"/>
        </w:rPr>
        <w:t>CONCLUSIONS</w:t>
      </w:r>
    </w:p>
    <w:p>
      <w:r>
        <w:rPr>
          <w:rFonts w:ascii="Times New Roman" w:hAnsi="Times New Roman"/>
          <w:sz w:val="24"/>
        </w:rPr>
        <w:t>Regional variation in anaesthesia practice in Japan is large and predominantly structural rather than an artefact of insurance auditing. University hospital presence is the dominant determinant, explaining more than one third of total variance in general anaesthesia. The variation in epidural anaesthesia (L002) and continuous epidural infusion (L003) is of particular concern given emerging evidence of oncological benefit from regional techniques. Quality improvement, workforce policy and equity policy should address the supply and organisational determinants of anaesthesia practice rather than treat the variation as an unavoidable feature of claims processing or as a signal of differential auditing.</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GBD 2019 Universal Health Coverage Collaborators. Measuring universal health coverage based on an index of effective coverage of health services in 204 countries and territories, 1990-2019. Lancet 2020;396:1250-84.</w:t>
      </w:r>
    </w:p>
    <w:p>
      <w:pPr>
        <w:spacing w:after="0" w:line="480" w:lineRule="auto"/>
      </w:pPr>
      <w:r>
        <w:rPr>
          <w:rFonts w:ascii="Times New Roman" w:hAnsi="Times New Roman"/>
          <w:sz w:val="24"/>
        </w:rPr>
        <w:t xml:space="preserve">3.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4. </w:t>
      </w:r>
      <w:r>
        <w:rPr>
          <w:rFonts w:ascii="Times New Roman" w:hAnsi="Times New Roman"/>
          <w:sz w:val="24"/>
        </w:rPr>
        <w:t>Ministry of Health, Labour and Welfare. Patient Survey 2008. Tokyo: MHLW, 2009.</w:t>
      </w:r>
    </w:p>
    <w:p>
      <w:pPr>
        <w:spacing w:after="0" w:line="480" w:lineRule="auto"/>
      </w:pPr>
      <w:r>
        <w:rPr>
          <w:rFonts w:ascii="Times New Roman" w:hAnsi="Times New Roman"/>
          <w:sz w:val="24"/>
        </w:rPr>
        <w:t xml:space="preserve">5.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6. </w:t>
      </w:r>
      <w:r>
        <w:rPr>
          <w:rFonts w:ascii="Times New Roman" w:hAnsi="Times New Roman"/>
          <w:sz w:val="24"/>
        </w:rPr>
        <w:t>Cabinet Office. Indicators of regional variation in healthcare and long-term care: insurance auditing rates by prefecture. Tokyo: Cabinet Office, 2023.</w:t>
      </w:r>
    </w:p>
    <w:p>
      <w:pPr>
        <w:spacing w:after="0" w:line="480" w:lineRule="auto"/>
      </w:pPr>
      <w:r>
        <w:rPr>
          <w:rFonts w:ascii="Times New Roman" w:hAnsi="Times New Roman"/>
          <w:sz w:val="24"/>
        </w:rPr>
        <w:t xml:space="preserve">7.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8. </w:t>
      </w:r>
      <w:r>
        <w:rPr>
          <w:rFonts w:ascii="Times New Roman" w:hAnsi="Times New Roman"/>
          <w:sz w:val="24"/>
        </w:rPr>
        <w:t>Chen WK, Miao CH. The effect of anesthetic technique on survival in human cancers: a meta-analysis of retrospective and prospective studies. PLoS One 2013;8:e56540.</w:t>
      </w:r>
    </w:p>
    <w:p>
      <w:pPr>
        <w:spacing w:after="0" w:line="480" w:lineRule="auto"/>
      </w:pPr>
      <w:r>
        <w:rPr>
          <w:rFonts w:ascii="Times New Roman" w:hAnsi="Times New Roman"/>
          <w:sz w:val="24"/>
        </w:rPr>
        <w:t xml:space="preserve">9.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10. </w:t>
      </w:r>
      <w:r>
        <w:rPr>
          <w:rFonts w:ascii="Times New Roman" w:hAnsi="Times New Roman"/>
          <w:sz w:val="24"/>
        </w:rPr>
        <w:t>Ministry of Health, Labour and Welfare. 2026 revision of the medical fee schedule: notice on anaesthesia code revisions. Tokyo: MHLW, 2025.</w:t>
      </w:r>
    </w:p>
    <w:p>
      <w:pPr>
        <w:spacing w:after="0" w:line="480" w:lineRule="auto"/>
      </w:pPr>
      <w:r>
        <w:rPr>
          <w:rFonts w:ascii="Times New Roman" w:hAnsi="Times New Roman"/>
          <w:sz w:val="24"/>
        </w:rPr>
        <w:t xml:space="preserve">11.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12. </w:t>
      </w:r>
      <w:r>
        <w:rPr>
          <w:rFonts w:ascii="Times New Roman" w:hAnsi="Times New Roman"/>
          <w:sz w:val="24"/>
        </w:rPr>
        <w:t>Cabinet Office. Regional variation visualisation (chiikisa no mieruka). https://www5.cao.go.jp/keizai-shimon/kaigi/special/reform/mieruka/ (accessed 10 Mar 2026).</w:t>
      </w:r>
    </w:p>
    <w:p>
      <w:pPr>
        <w:spacing w:after="0" w:line="480" w:lineRule="auto"/>
      </w:pPr>
      <w:r>
        <w:rPr>
          <w:rFonts w:ascii="Times New Roman" w:hAnsi="Times New Roman"/>
          <w:sz w:val="24"/>
        </w:rPr>
        <w:t xml:space="preserve">13.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14.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15. </w:t>
      </w:r>
      <w:r>
        <w:rPr>
          <w:rFonts w:ascii="Times New Roman" w:hAnsi="Times New Roman"/>
          <w:sz w:val="24"/>
        </w:rPr>
        <w:t>Cohen J. Statistical Power Analysis for the Behavioral Sciences. 2nd ed. Hillsdale, NJ: Lawrence Erlbaum, 1988.</w:t>
      </w:r>
    </w:p>
    <w:p>
      <w:pPr>
        <w:spacing w:after="0" w:line="480" w:lineRule="auto"/>
      </w:pPr>
      <w:r>
        <w:rPr>
          <w:rFonts w:ascii="Times New Roman" w:hAnsi="Times New Roman"/>
          <w:sz w:val="24"/>
        </w:rPr>
        <w:t xml:space="preserve">16. </w:t>
      </w:r>
      <w:r>
        <w:rPr>
          <w:rFonts w:ascii="Times New Roman" w:hAnsi="Times New Roman"/>
          <w:sz w:val="24"/>
        </w:rPr>
        <w:t>Rabe-Hesketh S, Skrondal A. Multilevel and Longitudinal Modeling Using Stata. 3rd ed. College Station, TX: Stata Press, 2012.</w:t>
      </w:r>
    </w:p>
    <w:p>
      <w:pPr>
        <w:spacing w:after="0" w:line="480" w:lineRule="auto"/>
      </w:pPr>
      <w:r>
        <w:rPr>
          <w:rFonts w:ascii="Times New Roman" w:hAnsi="Times New Roman"/>
          <w:sz w:val="24"/>
        </w:rPr>
        <w:t xml:space="preserve">17.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18. </w:t>
      </w:r>
      <w:r>
        <w:rPr>
          <w:rFonts w:ascii="Times New Roman" w:hAnsi="Times New Roman"/>
          <w:sz w:val="24"/>
        </w:rPr>
        <w:t>Efron B, Morris C. Stein's estimation rule and its competitors: an empirical Bayes approach. J Am Stat Assoc 1973;68:117-30.</w:t>
      </w:r>
    </w:p>
    <w:p>
      <w:pPr>
        <w:spacing w:after="0" w:line="480" w:lineRule="auto"/>
      </w:pPr>
      <w:r>
        <w:rPr>
          <w:rFonts w:ascii="Times New Roman" w:hAnsi="Times New Roman"/>
          <w:sz w:val="24"/>
        </w:rPr>
        <w:t xml:space="preserve">19.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20.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21.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22. </w:t>
      </w:r>
      <w:r>
        <w:rPr>
          <w:rFonts w:ascii="Times New Roman" w:hAnsi="Times New Roman"/>
          <w:sz w:val="24"/>
        </w:rPr>
        <w:t>Wengler A, Nimptsch U, Mansky T. Hip and knee replacement surgery (arthroplasty) and geographic variations in Germany. Dtsch Arztebl Int 2014;111:407-16.</w:t>
      </w:r>
    </w:p>
    <w:p>
      <w:pPr>
        <w:spacing w:after="0" w:line="480" w:lineRule="auto"/>
      </w:pPr>
      <w:r>
        <w:rPr>
          <w:rFonts w:ascii="Times New Roman" w:hAnsi="Times New Roman"/>
          <w:sz w:val="24"/>
        </w:rPr>
        <w:t xml:space="preserve">23.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24.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25. </w:t>
      </w:r>
      <w:r>
        <w:rPr>
          <w:rFonts w:ascii="Times New Roman" w:hAnsi="Times New Roman"/>
          <w:sz w:val="24"/>
        </w:rPr>
        <w:t>Cheng T-M. Taiwan's new national health insurance program: genesis and experience so far. Health Aff (Millwood) 2003;22:61-76.</w:t>
      </w:r>
    </w:p>
    <w:p>
      <w:pPr>
        <w:spacing w:after="0" w:line="480" w:lineRule="auto"/>
      </w:pPr>
      <w:r>
        <w:rPr>
          <w:rFonts w:ascii="Times New Roman" w:hAnsi="Times New Roman"/>
          <w:sz w:val="24"/>
        </w:rPr>
        <w:t xml:space="preserve">26. </w:t>
      </w:r>
      <w:r>
        <w:rPr>
          <w:rFonts w:ascii="Times New Roman" w:hAnsi="Times New Roman"/>
          <w:sz w:val="24"/>
        </w:rPr>
        <w:t>OECD. Geographic Variations in Health Care: What Do We Know and What Can Be Done to Improve Health System Performance? Paris: OECD Publishing, 2014.</w:t>
      </w:r>
    </w:p>
    <w:p>
      <w:pPr>
        <w:spacing w:after="0" w:line="480" w:lineRule="auto"/>
      </w:pPr>
      <w:r>
        <w:rPr>
          <w:rFonts w:ascii="Times New Roman" w:hAnsi="Times New Roman"/>
          <w:sz w:val="24"/>
        </w:rPr>
        <w:t xml:space="preserve">27. </w:t>
      </w:r>
      <w:r>
        <w:rPr>
          <w:rFonts w:ascii="Times New Roman" w:hAnsi="Times New Roman"/>
          <w:sz w:val="24"/>
        </w:rPr>
        <w:t>Donabedian A. The quality of care: how can it be assessed? JAMA 1988;260:1743-8.</w:t>
      </w:r>
    </w:p>
    <w:p>
      <w:pPr>
        <w:spacing w:after="0" w:line="480" w:lineRule="auto"/>
      </w:pPr>
      <w:r>
        <w:rPr>
          <w:rFonts w:ascii="Times New Roman" w:hAnsi="Times New Roman"/>
          <w:sz w:val="24"/>
        </w:rPr>
        <w:t xml:space="preserve">28. </w:t>
      </w:r>
      <w:r>
        <w:rPr>
          <w:rFonts w:ascii="Times New Roman" w:hAnsi="Times New Roman"/>
          <w:sz w:val="24"/>
        </w:rPr>
        <w:t>Merry AF, Cooper JB, Soyannwo O, et al. International standards for a safe practice of anesthesia 2010. Can J Anesth 2010;57:1027-34.</w:t>
      </w:r>
    </w:p>
    <w:p>
      <w:pPr>
        <w:spacing w:after="0" w:line="480" w:lineRule="auto"/>
      </w:pPr>
      <w:r>
        <w:rPr>
          <w:rFonts w:ascii="Times New Roman" w:hAnsi="Times New Roman"/>
          <w:sz w:val="24"/>
        </w:rPr>
        <w:t xml:space="preserve">29. </w:t>
      </w:r>
      <w:r>
        <w:rPr>
          <w:rFonts w:ascii="Times New Roman" w:hAnsi="Times New Roman"/>
          <w:sz w:val="24"/>
        </w:rPr>
        <w:t>Mainz J. Defining and classifying clinical indicators for quality improvement. Int J Qual Health Care 2003;15:523-30.</w:t>
      </w:r>
    </w:p>
    <w:p>
      <w:pPr>
        <w:spacing w:after="0" w:line="480" w:lineRule="auto"/>
      </w:pPr>
      <w:r>
        <w:rPr>
          <w:rFonts w:ascii="Times New Roman" w:hAnsi="Times New Roman"/>
          <w:sz w:val="24"/>
        </w:rPr>
        <w:t xml:space="preserve">30.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