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/>
          <w:b/>
          <w:sz w:val="24"/>
        </w:rPr>
        <w:t>Table 1. Anaesthesia procedure codes analysed across 335 secondary medical areas of Japan, fiscal year 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Procedure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Notes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General anaesthesia (closed-circuit)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Primary indicator of overall general anaesthesia volume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Spinal anaesthesia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Regional technique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Epidural anaesthesia as main technique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Regional technique claimed as the primary anaesthetic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Continuous epidural infusion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Regional technique largely billed as adjunct to general anaesthesia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L009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Anaesthesia management fee I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Proxy for specialist anaesthesiologist staffing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L100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Nerve block, inpatient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Indicator of pain-clinic activity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Source: Japanese fee schedule (shinryo houshu tensuhyo), fiscal year 2022. Standardised claim ratios (national average = 100) were computed for each code by indirect age- and sex-standardisation.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Table 2. Distribution of standardised claim ratios across 335 secondary medical areas (national average = 100), fiscal year 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Mean (SD)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Median (IQR)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Min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Max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CV (%)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79.7 (42.8)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73.5 (50.0–103.0)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2.3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435.7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53.7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93.8 (53.3)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84.6 (55.8–127.4)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346.5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56.8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307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95.6 (83.4)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76.6 (31.2–133.4)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0.9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519.1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87.2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83.5 (54.3)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73.4 (45.0–117.0)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443.0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65.0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L009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314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87.3 (49.9)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78.9 (51.4–116.5)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392.2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57.2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L100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335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99.8 (77.1)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77.8 (43.7–125.9)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433.3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77.3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SD, standard deviation; IQR, interquartile range; CV, coefficient of variation. Areas with low claim volume are masked by the data provider and appear as missing values.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Table 3. Multilevel linear mixed model results: standardised claim ratio as outcome, prefecture as random intercept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Null model ICC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β university (95% CI)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 value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Marginal R²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0.058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+64.1 (54.8 to 73.4)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0.358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0.343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+23.0 (11.0 to 35.1)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0.020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0.191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+49.0 (27.2 to 70.8)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0.125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0.106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+55.8 (43.0 to 68.7)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0.162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β university, fixed effect coefficient for university hospital presence (binary 0/1); CI, confidence interval; ICC, intraclass correlation coefficient; Marginal R², proportional reduction in total variance from the null model after adding the university hospital fixed effect.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