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120"/>
      </w:pPr>
      <w:r>
        <w:rPr>
          <w:rFonts w:ascii="Times New Roman" w:hAnsi="Times New Roman"/>
          <w:b w:val="0"/>
          <w:i w:val="0"/>
          <w:sz w:val="24"/>
        </w:rPr>
        <w:t>Word count (main text): ~4,600</w:t>
      </w:r>
    </w:p>
    <w:p>
      <w:pPr>
        <w:spacing w:after="120"/>
      </w:pPr>
      <w:r>
        <w:rPr>
          <w:rFonts w:ascii="Times New Roman" w:hAnsi="Times New Roman"/>
          <w:b w:val="0"/>
          <w:i w:val="0"/>
          <w:sz w:val="24"/>
        </w:rPr>
        <w:t>Tables: 2   Figures: 6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We examined which of the analyses commonly reported in device-validation studies actually detect a residual gain error after zeroing, and how a frequency-dependent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(n = 150 per scenario) for four cases: offset only, ideal zeroing, uncompensated gain error, and a gain error masked by a compensating offset.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the mean bias was +0.3 mmHg (apparently acceptable), yet the Bland–Altman regression slope (0.103), Deming slope (1.109), Passing–Bablok slope (1.111) and CCC scale shift (v = 1.108) all detected it. Underdamping inflated pulse pressure by 24% and overdamping attenuated it by 8%; these errors persist after zeroing and are diagnosed by the fast-flush test. CCC rose with the sampled pressure range for one fixed device (from 0.60 to 0.96).</w:t>
      </w:r>
    </w:p>
    <w:p>
      <w:pPr>
        <w:spacing w:after="40"/>
      </w:pPr>
      <w:r>
        <w:rPr>
          <w:rFonts w:ascii="Times New Roman" w:hAnsi="Times New Roman"/>
          <w:b/>
          <w:i w:val="0"/>
          <w:sz w:val="24"/>
        </w:rPr>
        <w:t>Conclusions</w:t>
      </w:r>
    </w:p>
    <w:p>
      <w:pPr>
        <w:spacing w:after="120"/>
      </w:pPr>
      <w:r>
        <w:rPr>
          <w:rFonts w:ascii="Times New Roman" w:hAnsi="Times New Roman"/>
          <w:b w:val="0"/>
          <w:i w:val="0"/>
          <w:sz w:val="24"/>
        </w:rPr>
        <w:t>A mean-bias limits-of-agreement summary can miss a clinically relevant gain error; proportional-bias–aware analyses and an explicit dynamic-response check should be reported alongside it.</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vertAlign w:val="superscript"/>
        </w:rPr>
        <w:t>1–2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vertAlign w:val="superscript"/>
        </w:rPr>
        <w:t>3</w:t>
      </w:r>
      <w:r>
        <w:rPr>
          <w:rFonts w:ascii="Times New Roman" w:hAnsi="Times New Roman"/>
          <w:b w:val="0"/>
          <w:i w:val="0"/>
          <w:sz w:val="24"/>
        </w:rPr>
        <w:t>.</w:t>
      </w:r>
    </w:p>
    <w:p>
      <w:pPr>
        <w:spacing w:after="120"/>
      </w:pPr>
      <w:r>
        <w:rPr>
          <w:rFonts w:ascii="Times New Roman" w:hAnsi="Times New Roman"/>
          <w:b w:val="0"/>
          <w:i w:val="0"/>
          <w:sz w:val="24"/>
        </w:rPr>
        <w:t>In a fluid-filled arterial line the external transducer is connected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vertAlign w:val="superscript"/>
        </w:rPr>
        <w:t>4–5</w:t>
      </w:r>
      <w:r>
        <w:rPr>
          <w:rFonts w:ascii="Times New Roman" w:hAnsi="Times New Roman"/>
          <w:b w:val="0"/>
          <w:i w:val="0"/>
          <w:sz w:val="24"/>
        </w:rPr>
        <w:t>. Zero calibration removes all of these offsets at once.</w:t>
      </w:r>
    </w:p>
    <w:p>
      <w:pPr>
        <w:spacing w:after="120"/>
      </w:pPr>
      <w:r>
        <w:rPr>
          <w:rFonts w:ascii="Times New Roman" w:hAnsi="Times New Roman"/>
          <w:b w:val="0"/>
          <w:i w:val="0"/>
          <w:sz w:val="24"/>
        </w:rPr>
        <w:t>Zeroing, however, is purely an offset correction: it does not verify the gain (sensitivity) of the system—the proportionality between a true pressure change and the displayed value. If the gain is wrong, the waveform is scaled and the error persists after zeroing. A second, frequency-dependent gain error arises from the dynamic response of the fluid-filled system: under- or over-damping distorts the pulsatile signal and therefore pulse pressure</w:t>
      </w:r>
      <w:r>
        <w:rPr>
          <w:rFonts w:ascii="Times New Roman" w:hAnsi="Times New Roman"/>
          <w:b w:val="0"/>
          <w:i w:val="0"/>
          <w:sz w:val="24"/>
          <w:vertAlign w:val="superscript"/>
        </w:rPr>
        <w:t>6</w:t>
      </w:r>
      <w:r>
        <w:rPr>
          <w:rFonts w:ascii="Times New Roman" w:hAnsi="Times New Roman"/>
          <w:b w:val="0"/>
          <w:i w:val="0"/>
          <w:sz w:val="24"/>
        </w:rPr>
        <w:t>.</w:t>
      </w:r>
    </w:p>
    <w:p>
      <w:pPr>
        <w:spacing w:after="120"/>
      </w:pPr>
      <w:r>
        <w:rPr>
          <w:rFonts w:ascii="Times New Roman" w:hAnsi="Times New Roman"/>
          <w:b w:val="0"/>
          <w:i w:val="0"/>
          <w:sz w:val="24"/>
        </w:rPr>
        <w:t>Zeroing nevertheless remains indispensable at the bedside, because these offsets are installation- and time-dependent physics rather than a factory-fixable device defect. The hydrostatic column depends on the height of the transducer relative to the phlebostatic axis (about 7.5 mmHg per 10 cm) and changes whenever the patient or the transducer is repositioned</w:t>
      </w:r>
      <w:r>
        <w:rPr>
          <w:rFonts w:ascii="Times New Roman" w:hAnsi="Times New Roman"/>
          <w:b w:val="0"/>
          <w:i w:val="0"/>
          <w:sz w:val="24"/>
          <w:vertAlign w:val="superscript"/>
        </w:rPr>
        <w:t>3</w:t>
      </w:r>
      <w:r>
        <w:rPr>
          <w:rFonts w:ascii="Times New Roman" w:hAnsi="Times New Roman"/>
          <w:b w:val="0"/>
          <w:i w:val="0"/>
          <w:sz w:val="24"/>
        </w:rPr>
        <w:t>; the atmospheric gauge reference drifts with weather and altitude; and electrical or thermal drift accumulates over time</w:t>
      </w:r>
      <w:r>
        <w:rPr>
          <w:rFonts w:ascii="Times New Roman" w:hAnsi="Times New Roman"/>
          <w:b w:val="0"/>
          <w:i w:val="0"/>
          <w:sz w:val="24"/>
          <w:vertAlign w:val="superscript"/>
        </w:rPr>
        <w:t>4–5</w:t>
      </w:r>
      <w:r>
        <w:rPr>
          <w:rFonts w:ascii="Times New Roman" w:hAnsi="Times New Roman"/>
          <w:b w:val="0"/>
          <w:i w:val="0"/>
          <w:sz w:val="24"/>
        </w:rPr>
        <w:t>. Crucially, detection is not correction, and the two operate at different layers. Method-comparison analyses such as Bland–Altman regression are retrospective validation tools that require paired reference measurements, which are not available in real time for the patient in front of the clinician; zeroing is the only procedure that removes a known, setup-specific offset a priori and without a reference. Even when a regression reveals an offset, removing it still requires zeroing. Zeroing therefore corrects offset operationally, whereas regression and CCC decomposition detect residual gain and structure—and neither can substitute for the other.</w:t>
      </w:r>
    </w:p>
    <w:p>
      <w:pPr>
        <w:spacing w:after="120"/>
      </w:pPr>
      <w:r>
        <w:rPr>
          <w:rFonts w:ascii="Times New Roman" w:hAnsi="Times New Roman"/>
          <w:b w:val="0"/>
          <w:i w:val="0"/>
          <w:sz w:val="24"/>
        </w:rPr>
        <w:t xml:space="preserve">Validation studies for arterial pressure and derived haemodynamic monitors overwhelmingly report the Bland–Altman summary (mean bias and 95% limits of agreement) </w:t>
      </w:r>
      <w:r>
        <w:rPr>
          <w:rFonts w:ascii="Times New Roman" w:hAnsi="Times New Roman"/>
          <w:b w:val="0"/>
          <w:i w:val="0"/>
          <w:sz w:val="24"/>
          <w:vertAlign w:val="superscript"/>
        </w:rPr>
        <w:t>7</w:t>
      </w:r>
      <w:r>
        <w:rPr>
          <w:rFonts w:ascii="Times New Roman" w:hAnsi="Times New Roman"/>
          <w:b w:val="0"/>
          <w:i w:val="0"/>
          <w:sz w:val="24"/>
        </w:rPr>
        <w:t xml:space="preserve"> and the Critchley percentage error </w:t>
      </w:r>
      <w:r>
        <w:rPr>
          <w:rFonts w:ascii="Times New Roman" w:hAnsi="Times New Roman"/>
          <w:b w:val="0"/>
          <w:i w:val="0"/>
          <w:sz w:val="24"/>
          <w:vertAlign w:val="superscript"/>
        </w:rPr>
        <w:t>8</w:t>
      </w:r>
      <w:r>
        <w:rPr>
          <w:rFonts w:ascii="Times New Roman" w:hAnsi="Times New Roman"/>
          <w:b w:val="0"/>
          <w:i w:val="0"/>
          <w:sz w:val="24"/>
        </w:rPr>
        <w:t xml:space="preserve">, with attention to the precision of the reference method </w:t>
      </w:r>
      <w:r>
        <w:rPr>
          <w:rFonts w:ascii="Times New Roman" w:hAnsi="Times New Roman"/>
          <w:b w:val="0"/>
          <w:i w:val="0"/>
          <w:sz w:val="24"/>
          <w:vertAlign w:val="superscript"/>
        </w:rPr>
        <w:t>9</w:t>
      </w:r>
      <w:r>
        <w:rPr>
          <w:rFonts w:ascii="Times New Roman" w:hAnsi="Times New Roman"/>
          <w:b w:val="0"/>
          <w:i w:val="0"/>
          <w:sz w:val="24"/>
        </w:rPr>
        <w:t xml:space="preserve">. The original Bland–Altman method also includes regression of the differences on the mean to detect proportional bias </w:t>
      </w:r>
      <w:r>
        <w:rPr>
          <w:rFonts w:ascii="Times New Roman" w:hAnsi="Times New Roman"/>
          <w:b w:val="0"/>
          <w:i w:val="0"/>
          <w:sz w:val="24"/>
          <w:vertAlign w:val="superscript"/>
        </w:rPr>
        <w:t>10</w:t>
      </w:r>
      <w:r>
        <w:rPr>
          <w:rFonts w:ascii="Times New Roman" w:hAnsi="Times New Roman"/>
          <w:b w:val="0"/>
          <w:i w:val="0"/>
          <w:sz w:val="24"/>
        </w:rPr>
        <w:t>, but this step is frequently omitted, and the mean-bias summary alone can be misleading when an offset and a gain error partially cancel.</w:t>
      </w:r>
    </w:p>
    <w:p>
      <w:pPr>
        <w:spacing w:after="120"/>
      </w:pPr>
      <w:r>
        <w:rPr>
          <w:rFonts w:ascii="Times New Roman" w:hAnsi="Times New Roman"/>
          <w:b w:val="0"/>
          <w:i w:val="0"/>
          <w:sz w:val="24"/>
        </w:rPr>
        <w:t xml:space="preserve">We do not claim that gain error is invisible to a properly conducted Bland–Altman analysis. Rather, we quantify—using a reproducible simulation—which of the analyses actually reported in the literature detect a residual gain error after zeroing, and we position Lin’s concordance correlation coefficient (CCC) and its scale-shift component </w:t>
      </w:r>
      <w:r>
        <w:rPr>
          <w:rFonts w:ascii="Times New Roman" w:hAnsi="Times New Roman"/>
          <w:b w:val="0"/>
          <w:i w:val="0"/>
          <w:sz w:val="24"/>
          <w:vertAlign w:val="superscript"/>
        </w:rPr>
        <w:t>11–12</w:t>
      </w:r>
      <w:r>
        <w:rPr>
          <w:rFonts w:ascii="Times New Roman" w:hAnsi="Times New Roman"/>
          <w:b w:val="0"/>
          <w:i w:val="0"/>
          <w:sz w:val="24"/>
        </w:rPr>
        <w:t xml:space="preserve">, together with Deming </w:t>
      </w:r>
      <w:r>
        <w:rPr>
          <w:rFonts w:ascii="Times New Roman" w:hAnsi="Times New Roman"/>
          <w:b w:val="0"/>
          <w:i w:val="0"/>
          <w:sz w:val="24"/>
          <w:vertAlign w:val="superscript"/>
        </w:rPr>
        <w:t>13</w:t>
      </w:r>
      <w:r>
        <w:rPr>
          <w:rFonts w:ascii="Times New Roman" w:hAnsi="Times New Roman"/>
          <w:b w:val="0"/>
          <w:i w:val="0"/>
          <w:sz w:val="24"/>
        </w:rPr>
        <w:t xml:space="preserve"> and Passing–Bablok </w:t>
      </w:r>
      <w:r>
        <w:rPr>
          <w:rFonts w:ascii="Times New Roman" w:hAnsi="Times New Roman"/>
          <w:b w:val="0"/>
          <w:i w:val="0"/>
          <w:sz w:val="24"/>
          <w:vertAlign w:val="superscript"/>
        </w:rPr>
        <w:t>14</w:t>
      </w:r>
      <w:r>
        <w:rPr>
          <w:rFonts w:ascii="Times New Roman" w:hAnsi="Times New Roman"/>
          <w:b w:val="0"/>
          <w:i w:val="0"/>
          <w:sz w:val="24"/>
        </w:rPr>
        <w:t xml:space="preserve"> regression, as complementary diagnostics. We also integrate the dynamic-response (damping) error, which is specifically clinically relevant to fluid-filled arterial lines, and discuss the range-dependence of the CCC </w:t>
      </w:r>
      <w:r>
        <w:rPr>
          <w:rFonts w:ascii="Times New Roman" w:hAnsi="Times New Roman"/>
          <w:b w:val="0"/>
          <w:i w:val="0"/>
          <w:sz w:val="24"/>
          <w:vertAlign w:val="superscript"/>
        </w:rPr>
        <w:t>15–16</w:t>
      </w:r>
      <w:r>
        <w:rPr>
          <w:rFonts w:ascii="Times New Roman" w:hAnsi="Times New Roman"/>
          <w:b w:val="0"/>
          <w:i w:val="0"/>
          <w:sz w:val="24"/>
        </w:rPr>
        <w:t>.</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(PP = systolic [SBP] − diastolic [DBP] pressure) is a pure AC quantity and is therefore independent of any additive DC offset but proportional to sensor gain (Fig. 1). An offset shifts the baseline without changing PP, whereas a gain error scales the whole waveform and changes PP.</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Times New Roman" w:hAnsi="Times New Roman"/>
          <w:i/>
          <w:sz w:val="20"/>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summary—mean bias, 95% limits of agreement (mean bias ± 1.96 SD) and percentage error </w:t>
      </w:r>
      <w:r>
        <w:rPr>
          <w:rFonts w:ascii="Times New Roman" w:hAnsi="Times New Roman"/>
          <w:b w:val="0"/>
          <w:i w:val="0"/>
          <w:sz w:val="24"/>
          <w:vertAlign w:val="superscript"/>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vertAlign w:val="superscript"/>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vertAlign w:val="superscript"/>
        </w:rPr>
        <w:t>13</w:t>
      </w:r>
      <w:r>
        <w:rPr>
          <w:rFonts w:ascii="Times New Roman" w:hAnsi="Times New Roman"/>
          <w:b w:val="0"/>
          <w:i w:val="0"/>
          <w:sz w:val="24"/>
        </w:rPr>
        <w:t xml:space="preserve">; (iv) Passing–Bablok non-parametric regression </w:t>
      </w:r>
      <w:r>
        <w:rPr>
          <w:rFonts w:ascii="Times New Roman" w:hAnsi="Times New Roman"/>
          <w:b w:val="0"/>
          <w:i w:val="0"/>
          <w:sz w:val="24"/>
          <w:vertAlign w:val="superscript"/>
        </w:rPr>
        <w:t>14</w:t>
      </w:r>
      <w:r>
        <w:rPr>
          <w:rFonts w:ascii="Times New Roman" w:hAnsi="Times New Roman"/>
          <w:b w:val="0"/>
          <w:i w:val="0"/>
          <w:sz w:val="24"/>
        </w:rPr>
        <w:t xml:space="preserve">; and (v) Lin’s CCC </w:t>
      </w:r>
      <w:r>
        <w:rPr>
          <w:rFonts w:ascii="Times New Roman" w:hAnsi="Times New Roman"/>
          <w:b w:val="0"/>
          <w:i w:val="0"/>
          <w:sz w:val="24"/>
          <w:vertAlign w:val="superscript"/>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vertAlign w:val="superscript"/>
        </w:rPr>
        <w:t>12</w:t>
      </w:r>
      <w:r>
        <w:rPr>
          <w:rFonts w:ascii="Times New Roman" w:hAnsi="Times New Roman"/>
          <w:b w:val="0"/>
          <w:i w:val="0"/>
          <w:sz w:val="24"/>
        </w:rPr>
        <w:t>. C_b further decomposes as:</w:t>
      </w:r>
    </w:p>
    <w:p>
      <w:pPr>
        <w:spacing w:after="120"/>
        <w:jc w:val="center"/>
      </w:pPr>
      <w:r>
        <w:rPr>
          <w:rFonts w:ascii="Times New Roman" w:hAnsi="Times New Roman"/>
          <w:i/>
          <w:sz w:val="24"/>
        </w:rPr>
        <w:t>C_b = 2 / (v + 1/v + u²)</w:t>
      </w:r>
    </w:p>
    <w:p>
      <w:pPr>
        <w:spacing w:after="120"/>
      </w:pPr>
      <w:r>
        <w:rPr>
          <w:rFonts w:ascii="Times New Roman" w:hAnsi="Times New Roman"/>
          <w:b w:val="0"/>
          <w:i w:val="0"/>
          <w:sz w:val="24"/>
        </w:rPr>
        <w:t>where v = σ_device/σ_reference is the scale shift (the gain ratio) and u = (μ_device − μ_reference)/√(σ_deviceσ_reference) is the location shift (offset). Zeroing drives u toward zero but leaves v unchanged; a residual gain error keeps v ≠ 1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|mean bias| &gt; 5.0 mmHg; the Bland–Altman regression flags if the slope 95% confidence interval (CI) excludes 0; Deming and Passing–Bablok flag if the slope 95% CI excludes 1; and the CCC scale shift flags if |v − 1| &gt; 0.05. Strength of agreement was interpreted using published CCC criteria </w:t>
      </w:r>
      <w:r>
        <w:rPr>
          <w:rFonts w:ascii="Times New Roman" w:hAnsi="Times New Roman"/>
          <w:b w:val="0"/>
          <w:i w:val="0"/>
          <w:sz w:val="24"/>
          <w:vertAlign w:val="superscript"/>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f_n and a damping coefficient ζ </w:t>
      </w:r>
      <w:r>
        <w:rPr>
          <w:rFonts w:ascii="Times New Roman" w:hAnsi="Times New Roman"/>
          <w:b w:val="0"/>
          <w:i w:val="0"/>
          <w:sz w:val="24"/>
          <w:vertAlign w:val="superscript"/>
        </w:rPr>
        <w:t>6</w:t>
      </w:r>
      <w:r>
        <w:rPr>
          <w:rFonts w:ascii="Times New Roman" w:hAnsi="Times New Roman"/>
          <w:b w:val="0"/>
          <w:i w:val="0"/>
          <w:sz w:val="24"/>
        </w:rPr>
        <w:t xml:space="preserve">. We modelled its transfer function H(f) = 1/[1 − (f/f_n)² + i·2ζ(f/f_n)] and applied it to the Fourier harmonics of synthetic arterial waveforms. Under-damping (low ζ, resonance near the arterial harmonics) causes systolic overshoot and PP over-estimation; over-damping attenuates PP. Both are gain errors on the pulsatile signal that zeroing cannot correct, and both are quantified at the bedside by the fast-flush (square-wave) test </w:t>
      </w:r>
      <w:r>
        <w:rPr>
          <w:rFonts w:ascii="Times New Roman" w:hAnsi="Times New Roman"/>
          <w:b w:val="0"/>
          <w:i w:val="0"/>
          <w:sz w:val="24"/>
          <w:vertAlign w:val="superscript"/>
        </w:rPr>
        <w:t>18–19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All data in this study are simulated, not measured in patients. Static scenarios comprised n = 150 paired systolic pressures drawn uniformly over 80–180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 analyse → figures → manuscript) are provided in the public repository so that a third party can regenerate every number, table and figure from a clean clone.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Concordance plots for the four static scenarios are shown in Fig. 2 and the full metrics in Table 1. Ideal zeroing (S2) gave near-perfect agreement (mean bias +0.1 mmHg, CCC 0.995, v 0.990). An uncompensated 10% gain error (S3) was obvious on every analysis, including the mean bias (+12.7 mmHg): gain error is not invisible to a Bland–Altman analysis.</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Times New Roman" w:hAnsi="Times New Roman"/>
          <w:i/>
          <w:sz w:val="20"/>
        </w:rPr>
        <w:t>Figure 2. Device-versus-reference concordance for the four static scenarios (dashed line = identity). Each panel shows the CCC, the CCC scale shift v, and the Bland–Altman mean bias. S4 has a near-zero mean bias despite a 10% gain error.</w:t>
      </w:r>
    </w:p>
    <w:p>
      <w:pPr>
        <w:spacing w:after="120"/>
      </w:pPr>
      <w:r>
        <w:rPr>
          <w:rFonts w:ascii="Times New Roman" w:hAnsi="Times New Roman"/>
          <w:b w:val="0"/>
          <w:i w:val="0"/>
          <w:sz w:val="24"/>
        </w:rPr>
        <w:t>The decisive case is S4, where a compensating offset makes the mean bias only +0.3 mmHg—within the ±5.0 mmHg acceptance band—so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v = 1.108. The detection pattern across all scenarios is summarised in Fig. 3, and the difference-versus-mean plots for S2 and S4 in Fig. 4.</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Times New Roman" w:hAnsi="Times New Roman"/>
          <w:i/>
          <w:sz w:val="20"/>
        </w:rPr>
        <w:t>Figure 3. Which reported analysis detects the error in each scenario (green = detected, grey = missed). In S4 the mean-bias summary misses the gain error that every proportional-bias–aware analysis detects.</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Times New Roman" w:hAnsi="Times New Roman"/>
          <w:i/>
          <w:sz w:val="20"/>
        </w:rPr>
        <w:t>Figure 4. Bland–Altman difference-versus-mean plots. In S2 the regression slope is flat; in S4 the slope is clearly positive despite a near-zero mean bias, revealing the masked proportional (gain) error.</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Dynamic-response metrics are given in Table 2 and illustrated in Fig. 5. The optimal system reproduced PP faithfully (PP ratio 1.01). Under-damping produced systolic overshoot and inflated PP by 24% (PP ratio 1.24, CCC scale shift v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(f_n, ζ).</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Times New Roman" w:hAnsi="Times New Roman"/>
          <w:i/>
          <w:sz w:val="20"/>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while the scale shift v remained close to its true value (Fig. 6). The CCC therefore should be reported together with the sampled pressure range; the structural components (C_b, v) are more transportable across studies </w:t>
      </w:r>
      <w:r>
        <w:rPr>
          <w:rFonts w:ascii="Times New Roman" w:hAnsi="Times New Roman"/>
          <w:b w:val="0"/>
          <w:i w:val="0"/>
          <w:sz w:val="24"/>
          <w:vertAlign w:val="superscript"/>
        </w:rPr>
        <w:t>15</w:t>
      </w:r>
      <w:r>
        <w:rPr>
          <w:rFonts w:ascii="Times New Roman" w:hAnsi="Times New Roman"/>
          <w:b w:val="0"/>
          <w:i w:val="0"/>
          <w:sz w:val="24"/>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Times New Roman" w:hAnsi="Times New Roman"/>
          <w:i/>
          <w:sz w:val="20"/>
        </w:rPr>
        <w:t>Figure 6. Range-dependence of the CCC. For one fixed device, the CCC and C_b increase as the sampled pressure range widens, whereas the scale shift v stays close to the true gain ratio.</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vertAlign w:val="superscript"/>
        </w:rPr>
        <w:t>10</w:t>
      </w:r>
      <w:r>
        <w:rPr>
          <w:rFonts w:ascii="Times New Roman" w:hAnsi="Times New Roman"/>
          <w:b w:val="0"/>
          <w:i w:val="0"/>
          <w:sz w:val="24"/>
        </w:rPr>
        <w:t xml:space="preserve">, Deming </w:t>
      </w:r>
      <w:r>
        <w:rPr>
          <w:rFonts w:ascii="Times New Roman" w:hAnsi="Times New Roman"/>
          <w:b w:val="0"/>
          <w:i w:val="0"/>
          <w:sz w:val="24"/>
          <w:vertAlign w:val="superscript"/>
        </w:rPr>
        <w:t>13</w:t>
      </w:r>
      <w:r>
        <w:rPr>
          <w:rFonts w:ascii="Times New Roman" w:hAnsi="Times New Roman"/>
          <w:b w:val="0"/>
          <w:i w:val="0"/>
          <w:sz w:val="24"/>
        </w:rPr>
        <w:t xml:space="preserve"> and Passing–Bablok </w:t>
      </w:r>
      <w:r>
        <w:rPr>
          <w:rFonts w:ascii="Times New Roman" w:hAnsi="Times New Roman"/>
          <w:b w:val="0"/>
          <w:i w:val="0"/>
          <w:sz w:val="24"/>
          <w:vertAlign w:val="superscript"/>
        </w:rPr>
        <w:t>14</w:t>
      </w:r>
      <w:r>
        <w:rPr>
          <w:rFonts w:ascii="Times New Roman" w:hAnsi="Times New Roman"/>
          <w:b w:val="0"/>
          <w:i w:val="0"/>
          <w:sz w:val="24"/>
        </w:rPr>
        <w:t xml:space="preserve"> regression, and the CCC scale shift </w:t>
      </w:r>
      <w:r>
        <w:rPr>
          <w:rFonts w:ascii="Times New Roman" w:hAnsi="Times New Roman"/>
          <w:b w:val="0"/>
          <w:i w:val="0"/>
          <w:sz w:val="24"/>
          <w:vertAlign w:val="superscript"/>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vertAlign w:val="superscript"/>
        </w:rPr>
        <w:t>20–21</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vertAlign w:val="superscript"/>
        </w:rPr>
        <w:t>15–16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vertAlign w:val="superscript"/>
        </w:rPr>
        <w:t>22</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vertAlign w:val="superscript"/>
        </w:rPr>
        <w:t>6,19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vertAlign w:val="superscript"/>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The reason zeroing is still performed today is that it corrects a setup-specific offset in real time, a role that no retrospective method-comparison statistic can fill. This also points to the way forward: because zeroing addresses only the operational offset problem, designing the offset sources out of the hardware removes the need to zero at all, leaving gain and dynamic response as the residual design and validation problems.</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vertAlign w:val="superscript"/>
        </w:rPr>
        <w:t>23–24</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vertAlign w:val="superscript"/>
        </w:rPr>
        <w:t>25</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vertAlign w:val="superscript"/>
        </w:rPr>
        <w:t>26</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vertAlign w:val="superscript"/>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vertAlign w:val="superscript"/>
        </w:rPr>
        <w:t>27</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setpoint—an offset correction—without correcting the gain of the pressure- or impedance-to-flow conversion </w:t>
      </w:r>
      <w:r>
        <w:rPr>
          <w:rFonts w:ascii="Times New Roman" w:hAnsi="Times New Roman"/>
          <w:b w:val="0"/>
          <w:i w:val="0"/>
          <w:sz w:val="24"/>
          <w:vertAlign w:val="superscript"/>
        </w:rPr>
        <w:t>28–31</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vertAlign w:val="superscript"/>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error—a prelude to, not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 mean-bias–plus–limits-of-agreement summary can miss a residual gain error when an offset masks it, whereas Bland–Altman regression, Deming and Passing–Bablok regression, and the CCC scale shift detect it. Dynamic-response error is a distinct, frequency-dependent gain error diagnosed by the fast-flush test. We recommend that arterial pressure validation studies report a proportional-bias–aware analysis, the CCC decomposition with the sampled range, and an explicit dynamic-response check.</w:t>
      </w:r>
    </w:p>
    <w:p>
      <w:pPr>
        <w:pStyle w:val="Heading1"/>
      </w:pPr>
      <w:r>
        <w:rPr>
          <w:rFonts w:ascii="Times New Roman" w:hAnsi="Times New Roman"/>
          <w:color w:val="000000"/>
        </w:rPr>
        <w:t>Conflicts of interest</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Funding</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All simulation code and generated data are openly available in the public replication repository (https://github.com/bougtoir/bpm-zero-calibration). Every number, table and figure in this article can be regenerated from a clean clone by running the analysis pipeline.</w:t>
      </w:r>
    </w:p>
    <w:p>
      <w:r>
        <w:br w:type="page"/>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 Deming / Passing–Bablok slope and v &gt; 1, i.e. a gain error hidden from the mean-bias summary.</w:t>
      </w:r>
    </w:p>
    <w:p>
      <w:r>
        <w:br w:type="page"/>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r>
        <w:br w:type="page"/>
      </w:r>
    </w:p>
    <w:p>
      <w:pPr>
        <w:pStyle w:val="Heading1"/>
      </w:pPr>
      <w:r>
        <w:rPr>
          <w:rFonts w:ascii="Times New Roman" w:hAnsi="Times New Roman"/>
          <w:color w:val="000000"/>
        </w:rPr>
        <w:t>Figure legends</w:t>
      </w:r>
    </w:p>
    <w:p>
      <w:pPr>
        <w:spacing w:after="120"/>
      </w:pPr>
      <w:r>
        <w:rPr>
          <w:rFonts w:ascii="Times New Roman" w:hAnsi="Times New Roman"/>
          <w:b w:val="0"/>
          <w:i w:val="0"/>
          <w:sz w:val="24"/>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spacing w:after="120"/>
      </w:pPr>
      <w:r>
        <w:rPr>
          <w:rFonts w:ascii="Times New Roman" w:hAnsi="Times New Roman"/>
          <w:b w:val="0"/>
          <w:i w:val="0"/>
          <w:sz w:val="24"/>
        </w:rPr>
        <w:t>Figure 2. Device-versus-reference concordance for the four static scenarios (dashed line = identity). Each panel shows the CCC, the CCC scale shift v, and the Bland–Altman mean bias. S4 has a near-zero mean bias despite a 10% gain error.</w:t>
      </w:r>
    </w:p>
    <w:p>
      <w:pPr>
        <w:spacing w:after="120"/>
      </w:pPr>
      <w:r>
        <w:rPr>
          <w:rFonts w:ascii="Times New Roman" w:hAnsi="Times New Roman"/>
          <w:b w:val="0"/>
          <w:i w:val="0"/>
          <w:sz w:val="24"/>
        </w:rPr>
        <w:t>Figure 3. Which reported analysis detects the error in each scenario (green = detected, grey = missed). In S4 the mean-bias summary misses the gain error that every proportional-bias–aware analysis detects.</w:t>
      </w:r>
    </w:p>
    <w:p>
      <w:pPr>
        <w:spacing w:after="120"/>
      </w:pPr>
      <w:r>
        <w:rPr>
          <w:rFonts w:ascii="Times New Roman" w:hAnsi="Times New Roman"/>
          <w:b w:val="0"/>
          <w:i w:val="0"/>
          <w:sz w:val="24"/>
        </w:rPr>
        <w:t>Figure 4. Bland–Altman difference-versus-mean plots. In S2 the regression slope is flat; in S4 the slope is clearly positive despite a near-zero mean bias, revealing the masked proportional (gain) error.</w:t>
      </w:r>
    </w:p>
    <w:p>
      <w:pPr>
        <w:spacing w:after="120"/>
      </w:pPr>
      <w:r>
        <w:rPr>
          <w:rFonts w:ascii="Times New Roman" w:hAnsi="Times New Roman"/>
          <w:b w:val="0"/>
          <w:i w:val="0"/>
          <w:sz w:val="24"/>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spacing w:after="120"/>
      </w:pPr>
      <w:r>
        <w:rPr>
          <w:rFonts w:ascii="Times New Roman" w:hAnsi="Times New Roman"/>
          <w:b w:val="0"/>
          <w:i w:val="0"/>
          <w:sz w:val="24"/>
        </w:rPr>
        <w:t>Figure 6. Range-dependence of the CCC. For one fixed device, the CCC and C_b increase as the sampled pressure range widens, whereas the scale shift v stays close to the true gain ratio.</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2020;24:172.</w:t>
      </w:r>
    </w:p>
    <w:p>
      <w:pPr>
        <w:spacing w:after="60" w:line="360" w:lineRule="auto"/>
        <w:ind w:hanging="510" w:left="510"/>
      </w:pPr>
      <w:r>
        <w:rPr>
          <w:rFonts w:ascii="Times New Roman" w:hAnsi="Times New Roman"/>
          <w:sz w:val="20"/>
        </w:rPr>
        <w:t>2. Saugel B, Sessler DI. Perioperative blood pressure management. Anesthesiology. 2021;134:250–61.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2025;28:205.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2002;22:60–79.</w:t>
      </w:r>
    </w:p>
    <w:p>
      <w:pPr>
        <w:spacing w:after="60" w:line="360" w:lineRule="auto"/>
        <w:ind w:hanging="510" w:left="510"/>
      </w:pPr>
      <w:r>
        <w:rPr>
          <w:rFonts w:ascii="Times New Roman" w:hAnsi="Times New Roman"/>
          <w:sz w:val="20"/>
        </w:rPr>
        <w:t>6. Gardner RM. Direct blood pressure measurement—dynamic response requirements. Anesthesiology. 1981;54:227–36.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1986;327:307–10.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1999;15:85–91.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2009;13:201.</w:t>
      </w:r>
    </w:p>
    <w:p>
      <w:pPr>
        <w:spacing w:after="60" w:line="360" w:lineRule="auto"/>
        <w:ind w:hanging="510" w:left="510"/>
      </w:pPr>
      <w:r>
        <w:rPr>
          <w:rFonts w:ascii="Times New Roman" w:hAnsi="Times New Roman"/>
          <w:sz w:val="20"/>
        </w:rPr>
        <w:t>10. Bland JM, Altman DG. Measuring agreement in method comparison studies. Stat Methods Med Res. 1999;8:135–60.</w:t>
      </w:r>
    </w:p>
    <w:p>
      <w:pPr>
        <w:spacing w:after="60" w:line="360" w:lineRule="auto"/>
        <w:ind w:hanging="510" w:left="510"/>
      </w:pPr>
      <w:r>
        <w:rPr>
          <w:rFonts w:ascii="Times New Roman" w:hAnsi="Times New Roman"/>
          <w:sz w:val="20"/>
        </w:rPr>
        <w:t>11. Lin LI-K. A concordance correlation coefficient to evaluate reproducibility. Biometrics. 1989;45:255–68.</w:t>
      </w:r>
    </w:p>
    <w:p>
      <w:pPr>
        <w:spacing w:after="60" w:line="360" w:lineRule="auto"/>
        <w:ind w:hanging="510" w:left="510"/>
      </w:pPr>
      <w:r>
        <w:rPr>
          <w:rFonts w:ascii="Times New Roman" w:hAnsi="Times New Roman"/>
          <w:sz w:val="20"/>
        </w:rPr>
        <w:t>12. Lin LI-K. A note on the concordance correlation coefficient. Biometrics. 2000;56:324–5.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1990;9:1463–73.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1983;21:709–20.</w:t>
      </w:r>
    </w:p>
    <w:p>
      <w:pPr>
        <w:spacing w:after="60" w:line="360" w:lineRule="auto"/>
        <w:ind w:hanging="510" w:left="510"/>
      </w:pPr>
      <w:r>
        <w:rPr>
          <w:rFonts w:ascii="Times New Roman" w:hAnsi="Times New Roman"/>
          <w:sz w:val="20"/>
        </w:rPr>
        <w:t>15. Atkinson G, Nevill A. Comment on the use of concordance correlation to assess the agreement between two variables. Biometrics. 1997;53:775–7.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2007;17:529–69.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1992;77:1215–20.</w:t>
      </w:r>
    </w:p>
    <w:p>
      <w:pPr>
        <w:spacing w:after="60" w:line="360" w:lineRule="auto"/>
        <w:ind w:hanging="510" w:left="510"/>
      </w:pPr>
      <w:r>
        <w:rPr>
          <w:rFonts w:ascii="Times New Roman" w:hAnsi="Times New Roman"/>
          <w:sz w:val="20"/>
        </w:rPr>
        <w:t>19. Romagnoli S, Ricci Z, Quattrone D, et al. Accuracy of invasive arterial pressure monitoring in cardiovascular patients: an observational study. Crit Care. 2014;18:644.</w:t>
      </w:r>
    </w:p>
    <w:p>
      <w:pPr>
        <w:spacing w:after="60" w:line="360" w:lineRule="auto"/>
        <w:ind w:hanging="510" w:left="510"/>
      </w:pPr>
      <w:r>
        <w:rPr>
          <w:rFonts w:ascii="Times New Roman" w:hAnsi="Times New Roman"/>
          <w:sz w:val="20"/>
        </w:rPr>
        <w:t>20. Kim S-H, Lilot M, Sidhu KS, et al. Accuracy and precision of continuous noninvasive arterial pressure monitoring compared with invasive arterial pressure. Anesthesiology. 2014;120:1080–97.</w:t>
      </w:r>
    </w:p>
    <w:p>
      <w:pPr>
        <w:spacing w:after="60" w:line="360" w:lineRule="auto"/>
        <w:ind w:hanging="510" w:left="510"/>
      </w:pPr>
      <w:r>
        <w:rPr>
          <w:rFonts w:ascii="Times New Roman" w:hAnsi="Times New Roman"/>
          <w:sz w:val="20"/>
        </w:rPr>
        <w:t>21. Joosten A, Desebbe O, Suehiro K, et al. Accuracy and precision of non-invasive cardiac output monitoring devices in perioperative medicine: a systematic review and meta-analysis. Br J Anaesth. 2017;118:298–310.</w:t>
      </w:r>
    </w:p>
    <w:p>
      <w:pPr>
        <w:spacing w:after="60" w:line="360" w:lineRule="auto"/>
        <w:ind w:hanging="510" w:left="510"/>
      </w:pPr>
      <w:r>
        <w:rPr>
          <w:rFonts w:ascii="Times New Roman" w:hAnsi="Times New Roman"/>
          <w:sz w:val="20"/>
        </w:rPr>
        <w:t>22. Odor PM, Bampoe S, Cecconi M. Cardiac output monitoring: validation studies—how results should be presented. Curr Anesthesiol Rep. 2017;7:410–15.</w:t>
      </w:r>
    </w:p>
    <w:p>
      <w:pPr>
        <w:spacing w:after="60" w:line="360" w:lineRule="auto"/>
        <w:ind w:hanging="510" w:left="510"/>
      </w:pPr>
      <w:r>
        <w:rPr>
          <w:rFonts w:ascii="Times New Roman" w:hAnsi="Times New Roman"/>
          <w:sz w:val="20"/>
        </w:rPr>
        <w:t>23. Hasenkamp W, Theumer T, Nolte J, Aschenbrenner L, Dietzel A, Büttgenbach S. Polyimide/SU-8 catheter-tip MEMS gauge pressure sensor. Biomed Microdevices. 2012;14:819–28.</w:t>
      </w:r>
    </w:p>
    <w:p>
      <w:pPr>
        <w:spacing w:after="60" w:line="360" w:lineRule="auto"/>
        <w:ind w:hanging="510" w:left="510"/>
      </w:pPr>
      <w:r>
        <w:rPr>
          <w:rFonts w:ascii="Times New Roman" w:hAnsi="Times New Roman"/>
          <w:sz w:val="20"/>
        </w:rPr>
        <w:t>24. Song P, Ma Z, Ma J, et al. Recent progress of miniature MEMS pressure sensors. Micromachines. 2020;11:56.</w:t>
      </w:r>
    </w:p>
    <w:p>
      <w:pPr>
        <w:spacing w:after="60" w:line="360" w:lineRule="auto"/>
        <w:ind w:hanging="510" w:left="510"/>
      </w:pPr>
      <w:r>
        <w:rPr>
          <w:rFonts w:ascii="Times New Roman" w:hAnsi="Times New Roman"/>
          <w:sz w:val="20"/>
        </w:rPr>
        <w:t>25. Kang Y, Ge C, Hu Y, et al. Development of a flexible integrated self-calibrating MEMS pressure sensor using a liquid-to-vapor phase change. Sensors. 2022;22:9737.</w:t>
      </w:r>
    </w:p>
    <w:p>
      <w:pPr>
        <w:spacing w:after="60" w:line="360" w:lineRule="auto"/>
        <w:ind w:hanging="510" w:left="510"/>
      </w:pPr>
      <w:r>
        <w:rPr>
          <w:rFonts w:ascii="Times New Roman" w:hAnsi="Times New Roman"/>
          <w:sz w:val="20"/>
        </w:rPr>
        <w:t>26. Scalia A, Ghafari C, Navarre W, et al. High fidelity pressure wires provide accurate validation of non-invasive central blood pressure and pulse wave velocity measurements. Biomedicines. 2023;11:1235.</w:t>
      </w:r>
    </w:p>
    <w:p>
      <w:pPr>
        <w:spacing w:after="60" w:line="360" w:lineRule="auto"/>
        <w:ind w:hanging="510" w:left="510"/>
      </w:pPr>
      <w:r>
        <w:rPr>
          <w:rFonts w:ascii="Times New Roman" w:hAnsi="Times New Roman"/>
          <w:sz w:val="20"/>
        </w:rPr>
        <w:t>27. Barlian AA, Park W-T, Mallon JR, Rastegar AJ, Pruitt BL. Review: semiconductor piezoresistance for microsystems. Proc IEEE. 2009;97:513–52.</w:t>
      </w:r>
    </w:p>
    <w:p>
      <w:pPr>
        <w:spacing w:after="60" w:line="360" w:lineRule="auto"/>
        <w:ind w:hanging="510" w:left="510"/>
      </w:pPr>
      <w:r>
        <w:rPr>
          <w:rFonts w:ascii="Times New Roman" w:hAnsi="Times New Roman"/>
          <w:sz w:val="20"/>
        </w:rPr>
        <w:t>28. Chatterjee K. The Swan–Ganz catheters: past, present, and future. Circulation. 2009;119:147–52.</w:t>
      </w:r>
    </w:p>
    <w:p>
      <w:pPr>
        <w:spacing w:after="60" w:line="360" w:lineRule="auto"/>
        <w:ind w:hanging="510" w:left="510"/>
      </w:pPr>
      <w:r>
        <w:rPr>
          <w:rFonts w:ascii="Times New Roman" w:hAnsi="Times New Roman"/>
          <w:sz w:val="20"/>
        </w:rPr>
        <w:t>29. Ameloot K, Palmers PJ, Malbrain MLNG. The accuracy of noninvasive cardiac output and pressure measurements with finger cuff: a concise review. Curr Opin Crit Care. 2015;21:232–9.</w:t>
      </w:r>
    </w:p>
    <w:p>
      <w:pPr>
        <w:spacing w:after="60" w:line="360" w:lineRule="auto"/>
        <w:ind w:hanging="510" w:left="510"/>
      </w:pPr>
      <w:r>
        <w:rPr>
          <w:rFonts w:ascii="Times New Roman" w:hAnsi="Times New Roman"/>
          <w:sz w:val="20"/>
        </w:rPr>
        <w:t>30. Squara P, Denjean D, Estagnasie P, Brusset A, Dib JC, Dubois C. Noninvasive cardiac output monitoring (NICOM): a clinical validation. Intensive Care Med. 2007;33:1191–4.</w:t>
      </w:r>
    </w:p>
    <w:p>
      <w:pPr>
        <w:spacing w:after="60" w:line="360" w:lineRule="auto"/>
        <w:ind w:hanging="510" w:left="510"/>
      </w:pPr>
      <w:r>
        <w:rPr>
          <w:rFonts w:ascii="Times New Roman" w:hAnsi="Times New Roman"/>
          <w:sz w:val="20"/>
        </w:rPr>
        <w:t>31. Manecke GR. Edwards FloTrac sensor and Vigileo monitor: easy, accurate, reliable cardiac output assessment using the arterial pulse wave. Expert Rev Med Devices. 2005;2:523–7.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