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of this relationship remain poorly quantified. In Japan, physician workforce maldistribution has intensified amid the 2024 work-style reform and the growing "chokubi" phenomenon—young physicians bypassing specialist training to enter non-insured aesthetic medicine.</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two national incident series—mandatory safety reports (2015–2025) and malpractice litigation statistics (2004–2023)—paired with physician and facility counts from national surveys. Granger causality F-tests, impulse response functions, and VAR-based forecasts were computed.</w:t>
      </w:r>
    </w:p>
    <w:p>
      <w:pPr>
        <w:spacing w:line="480" w:lineRule="auto" w:after="120"/>
      </w:pPr>
      <w:r>
        <w:rPr>
          <w:rFonts w:ascii="Times New Roman" w:hAnsi="Times New Roman"/>
          <w:b/>
          <w:sz w:val="24"/>
        </w:rPr>
        <w:t xml:space="preserve">Results: </w:t>
      </w:r>
      <w:r>
        <w:rPr>
          <w:rFonts w:ascii="Times New Roman" w:hAnsi="Times New Roman"/>
          <w:b w:val="0"/>
          <w:i w:val="0"/>
          <w:sz w:val="24"/>
        </w:rPr>
        <w:t>Of 47 VAR models, 20 showed significant forward Granger causality (incidents → workforce; P &lt; 0.05). Obstetrics and gynaecology exhibited the strongest association (F = 46.66, P &lt; 0.001). Bidirectional causality was observed in 7 specialty–outcome pairs. Impulse response functions indicated that a litigation shock reduced physician supply for 3–5 years. General surgery physicians are projected to decline by approximately 230 per year through 2033.</w:t>
      </w:r>
    </w:p>
    <w:p>
      <w:pPr>
        <w:spacing w:line="480" w:lineRule="auto" w:after="120"/>
      </w:pPr>
      <w:r>
        <w:rPr>
          <w:rFonts w:ascii="Times New Roman" w:hAnsi="Times New Roman"/>
          <w:b/>
          <w:sz w:val="24"/>
        </w:rPr>
        <w:t xml:space="preserve">Conclusions: </w:t>
      </w:r>
      <w:r>
        <w:rPr>
          <w:rFonts w:ascii="Times New Roman" w:hAnsi="Times New Roman"/>
          <w:b w:val="0"/>
          <w:i w:val="0"/>
          <w:sz w:val="24"/>
        </w:rPr>
        <w:t>Medical safety incidents Granger-cause reductions in physician supply across most specialties, with effects lasting 3–5 years. Combined with work-style reform constraints and the pull of non-insured sectors, these findings highlight an accelerating workforce crisis requiring integrated policy responses.</w:t>
      </w:r>
    </w:p>
    <w:p>
      <w:pPr>
        <w:spacing w:after="360" w:line="480" w:lineRule="auto"/>
      </w:pPr>
      <w:r>
        <w:rPr>
          <w:rFonts w:ascii="Times New Roman" w:hAnsi="Times New Roman"/>
          <w:b w:val="0"/>
          <w:i/>
          <w:sz w:val="24"/>
        </w:rPr>
        <w:t>Key words: physician workforce, Granger causality, medical safety incidents, specialty maldistribution, work-style reform, aesthetic medicine,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healthcare system faces a deepening crisis of physician workforce maldistribution across specialties and geographic regions.</w:t>
      </w:r>
      <w:r>
        <w:rPr>
          <w:rFonts w:ascii="Times New Roman" w:hAnsi="Times New Roman"/>
          <w:b w:val="0"/>
          <w:i w:val="0"/>
          <w:sz w:val="20"/>
          <w:vertAlign w:val="superscript"/>
        </w:rPr>
        <w:t>1,2</w:t>
      </w:r>
      <w:r>
        <w:rPr>
          <w:rFonts w:ascii="Times New Roman" w:hAnsi="Times New Roman"/>
          <w:b w:val="0"/>
          <w:i w:val="0"/>
          <w:sz w:val="24"/>
        </w:rPr>
        <w:t xml:space="preserve"> While the total number of physicians has grown steadily, reaching approximately 340,000 in 2022, this aggregate growth masks critical shortages in essential specialties such as general surgery, obstetrics, emergency medicine, and paediatrics.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Two recent developments have amplified public concern over specialty maldistribution. First, the "chokubi" (直美) phenomenon—in which newly licensed physicians bypass specialist training to enter non-insured aesthetic medicine immediately after their mandatory 2-year residency—has drawn considerable media and policy attention.</w:t>
      </w:r>
      <w:r>
        <w:rPr>
          <w:rFonts w:ascii="Times New Roman" w:hAnsi="Times New Roman"/>
          <w:b w:val="0"/>
          <w:i w:val="0"/>
          <w:sz w:val="20"/>
          <w:vertAlign w:val="superscript"/>
        </w:rPr>
        <w:t>5,6</w:t>
      </w:r>
      <w:r>
        <w:rPr>
          <w:rFonts w:ascii="Times New Roman" w:hAnsi="Times New Roman"/>
          <w:b w:val="0"/>
          <w:i w:val="0"/>
          <w:sz w:val="24"/>
        </w:rPr>
        <w:t xml:space="preserve"> An estimated 200–300 physicians (2–3% of annual new registrants) now take this path, attracted by salaries exceeding 20 million JPY and regular working hours without night shifts.</w:t>
      </w:r>
      <w:r>
        <w:rPr>
          <w:rFonts w:ascii="Times New Roman" w:hAnsi="Times New Roman"/>
          <w:b w:val="0"/>
          <w:i w:val="0"/>
          <w:sz w:val="20"/>
          <w:vertAlign w:val="superscript"/>
        </w:rPr>
        <w:t>5</w:t>
      </w:r>
      <w:r>
        <w:rPr>
          <w:rFonts w:ascii="Times New Roman" w:hAnsi="Times New Roman"/>
          <w:b w:val="0"/>
          <w:i w:val="0"/>
          <w:sz w:val="24"/>
        </w:rPr>
        <w:t xml:space="preserve"> Second, the April 2024 implementation of physician work-style reform (time-based overtime caps of 960 hours annually) has restricted moonlighting opportunities ("gaikin") that previously supplemented income in lower-paying hospital posts, paradoxically increasing workload for mid-career physicians through uncompensated labour classified as "deemed self-study" (minashi jiko-kenshu).</w:t>
      </w:r>
      <w:r>
        <w:rPr>
          <w:rFonts w:ascii="Times New Roman" w:hAnsi="Times New Roman"/>
          <w:b w:val="0"/>
          <w:i w:val="0"/>
          <w:sz w:val="20"/>
          <w:vertAlign w:val="superscript"/>
        </w:rPr>
        <w:t>7,8</w:t>
      </w:r>
      <w:r>
        <w:rPr>
          <w:rFonts w:ascii="Times New Roman" w:hAnsi="Times New Roman"/>
          <w:b w:val="0"/>
          <w:i w:val="0"/>
          <w:sz w:val="24"/>
        </w:rPr>
        <w:t xml:space="preserve"> These structural incentives, combined with occupational medicine (sangyoui) offering stable corporate employment without clinical risk, create powerful pull factors away from high-acuity hospital-based specialties.</w:t>
      </w:r>
      <w:r>
        <w:rPr>
          <w:rFonts w:ascii="Times New Roman" w:hAnsi="Times New Roman"/>
          <w:b w:val="0"/>
          <w:i w:val="0"/>
          <w:sz w:val="20"/>
          <w:vertAlign w:val="superscript"/>
        </w:rPr>
        <w:t>9</w:t>
      </w:r>
    </w:p>
    <w:p>
      <w:pPr>
        <w:spacing w:after="120" w:line="480" w:lineRule="auto"/>
      </w:pPr>
      <w:r>
        <w:rPr>
          <w:rFonts w:ascii="Times New Roman" w:hAnsi="Times New Roman"/>
          <w:b w:val="0"/>
          <w:i w:val="0"/>
          <w:sz w:val="24"/>
        </w:rPr>
        <w:t>The role of medical safety incidents as a push factor driving physicians away from high-risk specialties has been discussed since the landmark 2004 Fukushima obstetrics prosecution, in which an obstetrician was arrested following a maternal death during caesarean section.</w:t>
      </w:r>
      <w:r>
        <w:rPr>
          <w:rFonts w:ascii="Times New Roman" w:hAnsi="Times New Roman"/>
          <w:b w:val="0"/>
          <w:i w:val="0"/>
          <w:sz w:val="20"/>
          <w:vertAlign w:val="superscript"/>
        </w:rPr>
        <w:t>10,11</w:t>
      </w:r>
      <w:r>
        <w:rPr>
          <w:rFonts w:ascii="Times New Roman" w:hAnsi="Times New Roman"/>
          <w:b w:val="0"/>
          <w:i w:val="0"/>
          <w:sz w:val="24"/>
        </w:rPr>
        <w:t xml:space="preserve"> Morita estimated a 13% decrease in obstetricians in the affected prefecture using difference-in-differences analysis.</w:t>
      </w:r>
      <w:r>
        <w:rPr>
          <w:rFonts w:ascii="Times New Roman" w:hAnsi="Times New Roman"/>
          <w:b w:val="0"/>
          <w:i w:val="0"/>
          <w:sz w:val="20"/>
          <w:vertAlign w:val="superscript"/>
        </w:rPr>
        <w:t>12</w:t>
      </w:r>
      <w:r>
        <w:rPr>
          <w:rFonts w:ascii="Times New Roman" w:hAnsi="Times New Roman"/>
          <w:b w:val="0"/>
          <w:i w:val="0"/>
          <w:sz w:val="24"/>
        </w:rPr>
        <w:t xml:space="preserve"> However, this analysis was limited to a single event, specialty, and geographic area. Broader evidence linking incident trends to workforce dynamics across multiple specialties remains scarce.</w:t>
      </w:r>
    </w:p>
    <w:p>
      <w:pPr>
        <w:spacing w:after="120" w:line="480" w:lineRule="auto"/>
      </w:pPr>
      <w:r>
        <w:rPr>
          <w:rFonts w:ascii="Times New Roman" w:hAnsi="Times New Roman"/>
          <w:b w:val="0"/>
          <w:i w:val="0"/>
          <w:sz w:val="24"/>
        </w:rPr>
        <w:t>Japan possesses two complementary national data sources on medical safety incidents: the Japan Medical Safety Research Organisation (JMSR) mandatory reporting system established in 2015,</w:t>
      </w:r>
      <w:r>
        <w:rPr>
          <w:rFonts w:ascii="Times New Roman" w:hAnsi="Times New Roman"/>
          <w:b w:val="0"/>
          <w:i w:val="0"/>
          <w:sz w:val="20"/>
          <w:vertAlign w:val="superscript"/>
        </w:rPr>
        <w:t>13</w:t>
      </w:r>
      <w:r>
        <w:rPr>
          <w:rFonts w:ascii="Times New Roman" w:hAnsi="Times New Roman"/>
          <w:b w:val="0"/>
          <w:i w:val="0"/>
          <w:sz w:val="24"/>
        </w:rPr>
        <w:t xml:space="preserve"> and the Supreme Court annual statistics on medical malpractice litigation by specialty.</w:t>
      </w:r>
      <w:r>
        <w:rPr>
          <w:rFonts w:ascii="Times New Roman" w:hAnsi="Times New Roman"/>
          <w:b w:val="0"/>
          <w:i w:val="0"/>
          <w:sz w:val="20"/>
          <w:vertAlign w:val="superscript"/>
        </w:rPr>
        <w:t>14,15</w:t>
      </w:r>
      <w:r>
        <w:rPr>
          <w:rFonts w:ascii="Times New Roman" w:hAnsi="Times New Roman"/>
          <w:b w:val="0"/>
          <w:i w:val="0"/>
          <w:sz w:val="24"/>
        </w:rPr>
        <w:t xml:space="preserve"> Combined with biennial national physician surveys and annual facility registrations, these data enable a systematic, multi-specialty analysis.</w:t>
      </w:r>
    </w:p>
    <w:p>
      <w:pPr>
        <w:spacing w:after="120" w:line="480" w:lineRule="auto"/>
      </w:pPr>
      <w:r>
        <w:rPr>
          <w:rFonts w:ascii="Times New Roman" w:hAnsi="Times New Roman"/>
          <w:b w:val="0"/>
          <w:i w:val="0"/>
          <w:sz w:val="24"/>
        </w:rPr>
        <w:t>Previous analyses, including our own, relied on interrupted time series (ITS) methodology,</w:t>
      </w:r>
      <w:r>
        <w:rPr>
          <w:rFonts w:ascii="Times New Roman" w:hAnsi="Times New Roman"/>
          <w:b w:val="0"/>
          <w:i w:val="0"/>
          <w:sz w:val="20"/>
          <w:vertAlign w:val="superscript"/>
        </w:rPr>
        <w:t>16</w:t>
      </w:r>
      <w:r>
        <w:rPr>
          <w:rFonts w:ascii="Times New Roman" w:hAnsi="Times New Roman"/>
          <w:b w:val="0"/>
          <w:i w:val="0"/>
          <w:sz w:val="24"/>
        </w:rPr>
        <w:t xml:space="preserve"> which assumes a discrete exogenous intervention point poorly suited to continuously varying incident counts. We therefore applied vector autoregression (VAR) models and Granger causality tests—methods widely used in econometrics and increasingly in health policy research</w:t>
      </w:r>
      <w:r>
        <w:rPr>
          <w:rFonts w:ascii="Times New Roman" w:hAnsi="Times New Roman"/>
          <w:b w:val="0"/>
          <w:i w:val="0"/>
          <w:sz w:val="20"/>
          <w:vertAlign w:val="superscript"/>
        </w:rPr>
        <w:t>17–19</w:t>
      </w:r>
      <w:r>
        <w:rPr>
          <w:rFonts w:ascii="Times New Roman" w:hAnsi="Times New Roman"/>
          <w:b w:val="0"/>
          <w:i w:val="0"/>
          <w:sz w:val="24"/>
        </w:rPr>
        <w:t>—to formally test whether medical safety incidents temporally precede and predict changes in specialty-specific physician and facility counts.</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We conducted a secondary analysis of routinely collected national administrative data from Japan using bivariate VAR models and Granger causality tests. This study is reported in accordance with the RECORD (REporting of studies Conducted using Observational Routinely-collected health Data) statement.</w:t>
      </w:r>
      <w:r>
        <w:rPr>
          <w:rFonts w:ascii="Times New Roman" w:hAnsi="Times New Roman"/>
          <w:b w:val="0"/>
          <w:i w:val="0"/>
          <w:sz w:val="20"/>
          <w:vertAlign w:val="superscript"/>
        </w:rPr>
        <w:t>20</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13</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14</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21</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22</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23</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in both directions using F-tests on lagged coefficients.</w:t>
      </w:r>
      <w:r>
        <w:rPr>
          <w:rFonts w:ascii="Times New Roman" w:hAnsi="Times New Roman"/>
          <w:b w:val="0"/>
          <w:i w:val="0"/>
          <w:sz w:val="20"/>
          <w:vertAlign w:val="superscript"/>
        </w:rPr>
        <w:t>24</w:t>
      </w:r>
      <w:r>
        <w:rPr>
          <w:rFonts w:ascii="Times New Roman" w:hAnsi="Times New Roman"/>
          <w:b w:val="0"/>
          <w:i w:val="0"/>
          <w:sz w:val="24"/>
        </w:rPr>
        <w:t xml:space="preserve"> The null hypothesis for the forward test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25</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years), detrended Pearson correlations between JMSR incidents and enrolment were computed. All analyses used Python 3.10 with statsmodels 0.14.</w:t>
      </w:r>
      <w:r>
        <w:rPr>
          <w:rFonts w:ascii="Times New Roman" w:hAnsi="Times New Roman"/>
          <w:b w:val="0"/>
          <w:i w:val="0"/>
          <w:sz w:val="20"/>
          <w:vertAlign w:val="superscript"/>
        </w:rPr>
        <w:t>26</w:t>
      </w:r>
      <w:r>
        <w:rPr>
          <w:rFonts w:ascii="Times New Roman" w:hAnsi="Times New Roman"/>
          <w:b w:val="0"/>
          <w:i w:val="0"/>
          <w:sz w:val="24"/>
        </w:rPr>
        <w:t xml:space="preserve"> Code and data are available at https://github.com/bougtoir/medical-accident-its-analysis.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Between 2015 and 2025, the JMSR received 3,860 reports across the 12 specialties, with general surgery (n = 520), internal medicine (n = 479), and orthopaedic surgery (n = 310) recording the highest volumes. Medical malpractice litigation declined from 1,139 cases in 2004 to 746 in 2023 overall, although trends varied substantially by specialty (Figure 1).</w:t>
      </w:r>
    </w:p>
    <w:p>
      <w:pPr>
        <w:spacing w:before="240" w:after="120" w:line="480" w:lineRule="auto"/>
      </w:pPr>
      <w:r>
        <w:rPr>
          <w:rFonts w:ascii="Times New Roman" w:hAnsi="Times New Roman"/>
          <w:b/>
          <w:sz w:val="20"/>
        </w:rPr>
        <w:t>Figure 1. Trends in medical safety incident counts by specialty.</w:t>
      </w:r>
    </w:p>
    <w:p>
      <w:pPr>
        <w:jc w:val="center"/>
      </w:pPr>
      <w:r>
        <w:drawing>
          <wp:inline xmlns:a="http://schemas.openxmlformats.org/drawingml/2006/main" xmlns:pic="http://schemas.openxmlformats.org/drawingml/2006/picture">
            <wp:extent cx="5029200" cy="5543311"/>
            <wp:docPr id="1" name="Picture 1"/>
            <wp:cNvGraphicFramePr>
              <a:graphicFrameLocks noChangeAspect="1"/>
            </wp:cNvGraphicFramePr>
            <a:graphic>
              <a:graphicData uri="http://schemas.openxmlformats.org/drawingml/2006/picture">
                <pic:pic>
                  <pic:nvPicPr>
                    <pic:cNvPr id="0" name="fig4_accident_trends.png"/>
                    <pic:cNvPicPr/>
                  </pic:nvPicPr>
                  <pic:blipFill>
                    <a:blip r:embed="rId9"/>
                    <a:stretch>
                      <a:fillRect/>
                    </a:stretch>
                  </pic:blipFill>
                  <pic:spPr>
                    <a:xfrm>
                      <a:off x="0" y="0"/>
                      <a:ext cx="5029200" cy="5543311"/>
                    </a:xfrm>
                    <a:prstGeom prst="rect"/>
                  </pic:spPr>
                </pic:pic>
              </a:graphicData>
            </a:graphic>
          </wp:inline>
        </w:drawing>
      </w:r>
    </w:p>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shows IRFs for physician counts in response to a one-unit litigation shock for six key specialties. Obstetrics and gynaecology demonstrated a sustained negative response peaking at 2–3 years and persisting for approximately 5 years. General surgery showed a similar pattern attenuating by year 4. Facility-count IRFs are shown in Figure 3.</w:t>
      </w:r>
    </w:p>
    <w:p>
      <w:pPr>
        <w:spacing w:before="240" w:after="120" w:line="480" w:lineRule="auto"/>
      </w:pPr>
      <w:r>
        <w:rPr>
          <w:rFonts w:ascii="Times New Roman" w:hAnsi="Times New Roman"/>
          <w:b/>
          <w:sz w:val="20"/>
        </w:rPr>
        <w:t>Figure 2. IRF: physician count response to a one-unit litigation shock.</w:t>
      </w:r>
    </w:p>
    <w:p>
      <w:pPr>
        <w:jc w:val="center"/>
      </w:pPr>
      <w:r>
        <w:drawing>
          <wp:inline xmlns:a="http://schemas.openxmlformats.org/drawingml/2006/main" xmlns:pic="http://schemas.openxmlformats.org/drawingml/2006/picture">
            <wp:extent cx="5029200" cy="5927271"/>
            <wp:docPr id="2" name="Picture 2"/>
            <wp:cNvGraphicFramePr>
              <a:graphicFrameLocks noChangeAspect="1"/>
            </wp:cNvGraphicFramePr>
            <a:graphic>
              <a:graphicData uri="http://schemas.openxmlformats.org/drawingml/2006/picture">
                <pic:pic>
                  <pic:nvPicPr>
                    <pic:cNvPr id="0" name="fig2_irf_physicians.png"/>
                    <pic:cNvPicPr/>
                  </pic:nvPicPr>
                  <pic:blipFill>
                    <a:blip r:embed="rId10"/>
                    <a:stretch>
                      <a:fillRect/>
                    </a:stretch>
                  </pic:blipFill>
                  <pic:spPr>
                    <a:xfrm>
                      <a:off x="0" y="0"/>
                      <a:ext cx="5029200" cy="5927271"/>
                    </a:xfrm>
                    <a:prstGeom prst="rect"/>
                  </pic:spPr>
                </pic:pic>
              </a:graphicData>
            </a:graphic>
          </wp:inline>
        </w:drawing>
      </w:r>
    </w:p>
    <w:p/>
    <w:p>
      <w:pPr>
        <w:spacing w:before="240" w:after="120" w:line="480" w:lineRule="auto"/>
      </w:pPr>
      <w:r>
        <w:rPr>
          <w:rFonts w:ascii="Times New Roman" w:hAnsi="Times New Roman"/>
          <w:b/>
          <w:sz w:val="20"/>
        </w:rPr>
        <w:t>Figure 3. IRF: facility count response to a one-unit litigation shock.</w:t>
      </w:r>
    </w:p>
    <w:p>
      <w:pPr>
        <w:jc w:val="center"/>
      </w:pPr>
      <w:r>
        <w:drawing>
          <wp:inline xmlns:a="http://schemas.openxmlformats.org/drawingml/2006/main" xmlns:pic="http://schemas.openxmlformats.org/drawingml/2006/picture">
            <wp:extent cx="5029200" cy="5927271"/>
            <wp:docPr id="3" name="Picture 3"/>
            <wp:cNvGraphicFramePr>
              <a:graphicFrameLocks noChangeAspect="1"/>
            </wp:cNvGraphicFramePr>
            <a:graphic>
              <a:graphicData uri="http://schemas.openxmlformats.org/drawingml/2006/picture">
                <pic:pic>
                  <pic:nvPicPr>
                    <pic:cNvPr id="0" name="sfig1_irf_facilities.png"/>
                    <pic:cNvPicPr/>
                  </pic:nvPicPr>
                  <pic:blipFill>
                    <a:blip r:embed="rId11"/>
                    <a:stretch>
                      <a:fillRect/>
                    </a:stretch>
                  </pic:blipFill>
                  <pic:spPr>
                    <a:xfrm>
                      <a:off x="0" y="0"/>
                      <a:ext cx="5029200" cy="5927271"/>
                    </a:xfrm>
                    <a:prstGeom prst="rect"/>
                  </pic:spPr>
                </pic:pic>
              </a:graphicData>
            </a:graphic>
          </wp:inline>
        </w:drawing>
      </w:r>
    </w:p>
    <w:p/>
    <w:p>
      <w:r>
        <w:br w:type="page"/>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Pr>
        <w:spacing w:before="240" w:after="120" w:line="480" w:lineRule="auto"/>
      </w:pPr>
      <w:r>
        <w:rPr>
          <w:rFonts w:ascii="Times New Roman" w:hAnsi="Times New Roman"/>
          <w:b/>
          <w:sz w:val="20"/>
        </w:rPr>
        <w:t>Figure 4. VAR-based forecasts of physician and facility counts (2024–2033).</w:t>
      </w:r>
    </w:p>
    <w:p>
      <w:pPr>
        <w:jc w:val="center"/>
      </w:pPr>
      <w:r>
        <w:drawing>
          <wp:inline xmlns:a="http://schemas.openxmlformats.org/drawingml/2006/main" xmlns:pic="http://schemas.openxmlformats.org/drawingml/2006/picture">
            <wp:extent cx="5029200" cy="5925851"/>
            <wp:docPr id="4" name="Picture 4"/>
            <wp:cNvGraphicFramePr>
              <a:graphicFrameLocks noChangeAspect="1"/>
            </wp:cNvGraphicFramePr>
            <a:graphic>
              <a:graphicData uri="http://schemas.openxmlformats.org/drawingml/2006/picture">
                <pic:pic>
                  <pic:nvPicPr>
                    <pic:cNvPr id="0" name="fig3_var_forecasts.png"/>
                    <pic:cNvPicPr/>
                  </pic:nvPicPr>
                  <pic:blipFill>
                    <a:blip r:embed="rId12"/>
                    <a:stretch>
                      <a:fillRect/>
                    </a:stretch>
                  </pic:blipFill>
                  <pic:spPr>
                    <a:xfrm>
                      <a:off x="0" y="0"/>
                      <a:ext cx="5029200" cy="5925851"/>
                    </a:xfrm>
                    <a:prstGeom prst="rect"/>
                  </pic:spPr>
                </pic:pic>
              </a:graphicData>
            </a:graphic>
          </wp:inline>
        </w:drawing>
      </w:r>
    </w:p>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This study provides the first multi-specialty application of Granger causality testing to the relationship between medical safety incidents and physician workforce dynamics. Litigation statistics Granger-caused physician counts in 9 of 12 specialties and facility counts in 9 of 12, with obstetrics and gynaecology showing the strongest association (F = 46.66, P &lt; 0.001).</w:t>
      </w:r>
    </w:p>
    <w:p>
      <w:pPr>
        <w:spacing w:after="120" w:line="480" w:lineRule="auto"/>
      </w:pPr>
      <w:r>
        <w:rPr>
          <w:rFonts w:ascii="Times New Roman" w:hAnsi="Times New Roman"/>
          <w:b w:val="0"/>
          <w:i w:val="0"/>
          <w:sz w:val="24"/>
        </w:rPr>
        <w:t>The VAR/Granger framework addresses key limitations of prior ITS analyses:</w:t>
      </w:r>
      <w:r>
        <w:rPr>
          <w:rFonts w:ascii="Times New Roman" w:hAnsi="Times New Roman"/>
          <w:b w:val="0"/>
          <w:i w:val="0"/>
          <w:sz w:val="20"/>
          <w:vertAlign w:val="superscript"/>
        </w:rPr>
        <w:t>16</w:t>
      </w:r>
      <w:r>
        <w:rPr>
          <w:rFonts w:ascii="Times New Roman" w:hAnsi="Times New Roman"/>
          <w:b w:val="0"/>
          <w:i w:val="0"/>
          <w:sz w:val="24"/>
        </w:rPr>
        <w:t xml:space="preserve"> it does not require an exogenous intervention point, provides formal predictive-causality tests, controls for shared trends through stationarity testing, and generates multivariate forecasts grounded in estimated dynamics.</w:t>
      </w:r>
    </w:p>
    <w:p>
      <w:pPr>
        <w:pStyle w:val="Heading2"/>
      </w:pPr>
      <w:r>
        <w:rPr>
          <w:rFonts w:ascii="Times New Roman" w:hAnsi="Times New Roman"/>
          <w:color w:val="000000"/>
        </w:rPr>
        <w:t>Bidirectional causality and the vicious cycle</w:t>
      </w:r>
    </w:p>
    <w:p>
      <w:pPr>
        <w:spacing w:after="120" w:line="480" w:lineRule="auto"/>
      </w:pPr>
      <w:r>
        <w:rPr>
          <w:rFonts w:ascii="Times New Roman" w:hAnsi="Times New Roman"/>
          <w:b w:val="0"/>
          <w:i w:val="0"/>
          <w:sz w:val="24"/>
        </w:rPr>
        <w:t>Bidirectional Granger causality in 7 specialty–outcome combinations suggests a reinforcing cycle. Forward causality (incidents → workforce decline) reflects "incident avoidance": high-profile safety events deter specialty entry and accelerate exit.</w:t>
      </w:r>
      <w:r>
        <w:rPr>
          <w:rFonts w:ascii="Times New Roman" w:hAnsi="Times New Roman"/>
          <w:b w:val="0"/>
          <w:i w:val="0"/>
          <w:sz w:val="20"/>
          <w:vertAlign w:val="superscript"/>
        </w:rPr>
        <w:t>1,12</w:t>
      </w:r>
      <w:r>
        <w:rPr>
          <w:rFonts w:ascii="Times New Roman" w:hAnsi="Times New Roman"/>
          <w:b w:val="0"/>
          <w:i w:val="0"/>
          <w:sz w:val="24"/>
        </w:rPr>
        <w:t xml:space="preserve"> Reverse causality (workforce decline → incidents) reflects an "overwork" pathway: fewer physicians per caseload increases fatigue, reduces supervision, and raises incident risk.</w:t>
      </w:r>
      <w:r>
        <w:rPr>
          <w:rFonts w:ascii="Times New Roman" w:hAnsi="Times New Roman"/>
          <w:b w:val="0"/>
          <w:i w:val="0"/>
          <w:sz w:val="20"/>
          <w:vertAlign w:val="superscript"/>
        </w:rPr>
        <w:t>27</w:t>
      </w:r>
      <w:r>
        <w:rPr>
          <w:rFonts w:ascii="Times New Roman" w:hAnsi="Times New Roman"/>
          <w:b w:val="0"/>
          <w:i w:val="0"/>
          <w:sz w:val="24"/>
        </w:rPr>
        <w:t xml:space="preserve"> The coexistence of both pathways in obstetrics, paediatrics, and general surgery defines the specialties most vulnerable to self-perpetuating decline.</w:t>
      </w:r>
    </w:p>
    <w:p>
      <w:pPr>
        <w:pStyle w:val="Heading2"/>
      </w:pPr>
      <w:r>
        <w:rPr>
          <w:rFonts w:ascii="Times New Roman" w:hAnsi="Times New Roman"/>
          <w:color w:val="000000"/>
        </w:rPr>
        <w:t>Context: work-style reform and the "chokubi" phenomenon</w:t>
      </w:r>
    </w:p>
    <w:p>
      <w:pPr>
        <w:spacing w:after="120" w:line="480" w:lineRule="auto"/>
      </w:pPr>
      <w:r>
        <w:rPr>
          <w:rFonts w:ascii="Times New Roman" w:hAnsi="Times New Roman"/>
          <w:b w:val="0"/>
          <w:i w:val="0"/>
          <w:sz w:val="24"/>
        </w:rPr>
        <w:t>Our findings must be interpreted against the backdrop of Japan’s evolving physician labour market. The April 2024 work-style reform caps annual overtime at 960 hours (A-level) with transitional exceptions (B/C-level at 1,860 hours).</w:t>
      </w:r>
      <w:r>
        <w:rPr>
          <w:rFonts w:ascii="Times New Roman" w:hAnsi="Times New Roman"/>
          <w:b w:val="0"/>
          <w:i w:val="0"/>
          <w:sz w:val="20"/>
          <w:vertAlign w:val="superscript"/>
        </w:rPr>
        <w:t>7</w:t>
      </w:r>
      <w:r>
        <w:rPr>
          <w:rFonts w:ascii="Times New Roman" w:hAnsi="Times New Roman"/>
          <w:b w:val="0"/>
          <w:i w:val="0"/>
          <w:sz w:val="24"/>
        </w:rPr>
        <w:t xml:space="preserve"> While intended to improve physician well-being, the reform has produced several unintended consequences. Restrictions on moonlighting ("gaikin")—historically an important income supplement for hospital-based physicians—have reduced the financial attractiveness of demanding specialties. Moreover, the phenomenon of "deemed self-study" (minashi jiko-kenshu), whereby hours exceeding the cap are reclassified as voluntary training rather than labour, has paradoxically increased uncompensated workload for mid-career physicians while failing to improve working conditions for trainees.</w:t>
      </w:r>
      <w:r>
        <w:rPr>
          <w:rFonts w:ascii="Times New Roman" w:hAnsi="Times New Roman"/>
          <w:b w:val="0"/>
          <w:i w:val="0"/>
          <w:sz w:val="20"/>
          <w:vertAlign w:val="superscript"/>
        </w:rPr>
        <w:t>8</w:t>
      </w:r>
    </w:p>
    <w:p>
      <w:pPr>
        <w:spacing w:after="120" w:line="480" w:lineRule="auto"/>
      </w:pPr>
      <w:r>
        <w:rPr>
          <w:rFonts w:ascii="Times New Roman" w:hAnsi="Times New Roman"/>
          <w:b w:val="0"/>
          <w:i w:val="0"/>
          <w:sz w:val="24"/>
        </w:rPr>
        <w:t>Simultaneously, the "chokubi" phenomenon represents a growing pull factor. Approximately 200–300 newly registered physicians annually now enter non-insured aesthetic medicine directly after residency, bypassing specialist certification entirely.</w:t>
      </w:r>
      <w:r>
        <w:rPr>
          <w:rFonts w:ascii="Times New Roman" w:hAnsi="Times New Roman"/>
          <w:b w:val="0"/>
          <w:i w:val="0"/>
          <w:sz w:val="20"/>
          <w:vertAlign w:val="superscript"/>
        </w:rPr>
        <w:t>5,6</w:t>
      </w:r>
      <w:r>
        <w:rPr>
          <w:rFonts w:ascii="Times New Roman" w:hAnsi="Times New Roman"/>
          <w:b w:val="0"/>
          <w:i w:val="0"/>
          <w:sz w:val="24"/>
        </w:rPr>
        <w:t xml:space="preserve"> The number of physicians primarily employed in aesthetic surgery clinics tripled between 2008 and 2022, with half aged under 40.</w:t>
      </w:r>
      <w:r>
        <w:rPr>
          <w:rFonts w:ascii="Times New Roman" w:hAnsi="Times New Roman"/>
          <w:b w:val="0"/>
          <w:i w:val="0"/>
          <w:sz w:val="20"/>
          <w:vertAlign w:val="superscript"/>
        </w:rPr>
        <w:t>5</w:t>
      </w:r>
      <w:r>
        <w:rPr>
          <w:rFonts w:ascii="Times New Roman" w:hAnsi="Times New Roman"/>
          <w:b w:val="0"/>
          <w:i w:val="0"/>
          <w:sz w:val="24"/>
        </w:rPr>
        <w:t xml:space="preserve"> Entry-level salaries in aesthetic clinics (&gt;20 million JPY) far exceed those in hospital training posts (4.35 million JPY for residents), and these positions offer predictable hours without night calls or emergency duties.</w:t>
      </w:r>
    </w:p>
    <w:p>
      <w:pPr>
        <w:spacing w:after="120" w:line="480" w:lineRule="auto"/>
      </w:pPr>
      <w:r>
        <w:rPr>
          <w:rFonts w:ascii="Times New Roman" w:hAnsi="Times New Roman"/>
          <w:b w:val="0"/>
          <w:i w:val="0"/>
          <w:sz w:val="24"/>
        </w:rPr>
        <w:t>A parallel trend is the early career shift to occupational medicine (sangyoui), where corporate employment offers stable income, minimal litigation risk, and regular hours.</w:t>
      </w:r>
      <w:r>
        <w:rPr>
          <w:rFonts w:ascii="Times New Roman" w:hAnsi="Times New Roman"/>
          <w:b w:val="0"/>
          <w:i w:val="0"/>
          <w:sz w:val="20"/>
          <w:vertAlign w:val="superscript"/>
        </w:rPr>
        <w:t>9,28</w:t>
      </w:r>
      <w:r>
        <w:rPr>
          <w:rFonts w:ascii="Times New Roman" w:hAnsi="Times New Roman"/>
          <w:b w:val="0"/>
          <w:i w:val="0"/>
          <w:sz w:val="24"/>
        </w:rPr>
        <w:t xml:space="preserve"> Although occupational physicians serve an essential public health function, the low retention rate (55–65% turnover within 2 years)</w:t>
      </w:r>
      <w:r>
        <w:rPr>
          <w:rFonts w:ascii="Times New Roman" w:hAnsi="Times New Roman"/>
          <w:b w:val="0"/>
          <w:i w:val="0"/>
          <w:sz w:val="20"/>
          <w:vertAlign w:val="superscript"/>
        </w:rPr>
        <w:t>28</w:t>
      </w:r>
      <w:r>
        <w:rPr>
          <w:rFonts w:ascii="Times New Roman" w:hAnsi="Times New Roman"/>
          <w:b w:val="0"/>
          <w:i w:val="0"/>
          <w:sz w:val="24"/>
        </w:rPr>
        <w:t xml:space="preserve"> suggests that for many, it functions as a temporary refuge from clinical demands rather than a committed career path.</w:t>
      </w:r>
    </w:p>
    <w:p>
      <w:pPr>
        <w:spacing w:after="120" w:line="480" w:lineRule="auto"/>
      </w:pPr>
      <w:r>
        <w:rPr>
          <w:rFonts w:ascii="Times New Roman" w:hAnsi="Times New Roman"/>
          <w:b w:val="0"/>
          <w:i w:val="0"/>
          <w:sz w:val="24"/>
        </w:rPr>
        <w:t>Our Granger causality results illuminate the push side of this equation: safety incidents actively drive physicians away from high-risk specialties over a 3–5 year horizon. When combined with the structural pull of non-insured sectors and the reduced financial incentives imposed by work-style reform, the result is an accelerating workforce crisis in precisely those specialties that society most needs—surgery, obstetrics, emergency medicine, and paediatrics.</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Breaking the vicious cycle requires interventions targeting both pathways. On the push side, improved post-incident support, no-fault compensation systems, and balanced media reporting could reduce the deterrent effect of safety events.</w:t>
      </w:r>
      <w:r>
        <w:rPr>
          <w:rFonts w:ascii="Times New Roman" w:hAnsi="Times New Roman"/>
          <w:b w:val="0"/>
          <w:i w:val="0"/>
          <w:sz w:val="20"/>
          <w:vertAlign w:val="superscript"/>
        </w:rPr>
        <w:t>10,29</w:t>
      </w:r>
      <w:r>
        <w:rPr>
          <w:rFonts w:ascii="Times New Roman" w:hAnsi="Times New Roman"/>
          <w:b w:val="0"/>
          <w:i w:val="0"/>
          <w:sz w:val="24"/>
        </w:rPr>
        <w:t xml:space="preserve"> On the pull side, the Ministry of Health, Labour and Welfare’s 2024 draft measures to restrict new clinic openings in physician-surplus areas may function to attenuate the outflow from essential specialties into non-insured practice. However, such regulatory approaches face constitutional challenges regarding freedom of practice and may prove insufficient without simultaneously addressing the structural remuneration gap between insured and non-insured medicine—entry-level aesthetic clinic salaries exceed hospital trainee salaries by nearly five-fold.</w:t>
      </w:r>
      <w:r>
        <w:rPr>
          <w:rFonts w:ascii="Times New Roman" w:hAnsi="Times New Roman"/>
          <w:b w:val="0"/>
          <w:i w:val="0"/>
          <w:sz w:val="20"/>
          <w:vertAlign w:val="superscript"/>
        </w:rPr>
        <w:t>5</w:t>
      </w:r>
      <w:r>
        <w:rPr>
          <w:rFonts w:ascii="Times New Roman" w:hAnsi="Times New Roman"/>
          <w:b w:val="0"/>
          <w:i w:val="0"/>
          <w:sz w:val="24"/>
        </w:rPr>
        <w:t xml:space="preserve"> The IRF results, showing 3–5 year effect duration, define a critical intervention window during which combined regulatory and incentive-based policies could be most effective.</w:t>
      </w:r>
    </w:p>
    <w:p>
      <w:pPr>
        <w:spacing w:after="120" w:line="480" w:lineRule="auto"/>
      </w:pPr>
      <w:r>
        <w:rPr>
          <w:rFonts w:ascii="Times New Roman" w:hAnsi="Times New Roman"/>
          <w:b w:val="0"/>
          <w:i w:val="0"/>
          <w:sz w:val="24"/>
        </w:rPr>
        <w:t>Workforce planning models should incorporate the temporal lag parameters estimated here. The projected decline in general surgery (−230 physicians/year) and facilities (−310/year) demands urgent policy attention, particularly given the reform-driven constraints on existing workforce capacity.</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include population-level data from mandatory national registries across 12 specialties over up to 20 years, and the application of VAR/Granger methodology suited to continuously varying exposures. Limitations include the ecological study design precluding individual-level causal inference; biennial physician data requiring interpolation; limited power in the JMSR series (11 years); and unmeasured confounders including demographic shifts, the 2004 postgraduate training reform, and the direct effects of work-style reform itself (which overlaps temporally with the most recent data points).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Granger-cause reductions in specialty-specific physician supply in 9 of 12 specialties, with effects persisting for 3–5 years. Bidirectional causality in obstetrics, paediatrics, and general surgery suggests a self-reinforcing shortage–incident cycle. In the context of work-style reform and the growing migration of young physicians to non-insured sectors, these temporal dynamics pose an urgent threat to essential medical services. Integrated policy responses addressing both the push of safety incidents and the pull of alternative career paths are needed.</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Takei T. The ‘Chokubi’ phenomenon: young physicians’ exodus from state service to private medicine in Japan. QJM. 2024;117(12):843-5.</w:t>
      </w:r>
    </w:p>
    <w:p>
      <w:pPr>
        <w:spacing w:line="480" w:lineRule="auto" w:after="40"/>
      </w:pPr>
      <w:r>
        <w:rPr>
          <w:rFonts w:ascii="Times New Roman" w:hAnsi="Times New Roman"/>
          <w:sz w:val="20"/>
        </w:rPr>
        <w:t>6. Ministry of Health, Labour and Welfare. Survey of medical institutions 2023: aesthetic surgery clinics. Tokyo: MHLW; 2024. Japanese.</w:t>
      </w:r>
    </w:p>
    <w:p>
      <w:pPr>
        <w:spacing w:line="480" w:lineRule="auto" w:after="40"/>
      </w:pPr>
      <w:r>
        <w:rPr>
          <w:rFonts w:ascii="Times New Roman" w:hAnsi="Times New Roman"/>
          <w:sz w:val="20"/>
        </w:rPr>
        <w:t>7.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8. Japan Medical Association. Survey on physician work-style reform implementation status. Tokyo: JMA; 2024. Japanese.</w:t>
      </w:r>
    </w:p>
    <w:p>
      <w:pPr>
        <w:spacing w:line="480" w:lineRule="auto" w:after="40"/>
      </w:pPr>
      <w:r>
        <w:rPr>
          <w:rFonts w:ascii="Times New Roman" w:hAnsi="Times New Roman"/>
          <w:sz w:val="20"/>
        </w:rPr>
        <w:t>9. Koike S, Isse T, Kawaguchi H, et al. Retention among full-time occupational physicians in Japan. Occup Med (Lond). 2019;69(2):139-42.</w:t>
      </w:r>
    </w:p>
    <w:p>
      <w:pPr>
        <w:spacing w:line="480" w:lineRule="auto" w:after="40"/>
      </w:pPr>
      <w:r>
        <w:rPr>
          <w:rFonts w:ascii="Times New Roman" w:hAnsi="Times New Roman"/>
          <w:sz w:val="20"/>
        </w:rPr>
        <w:t>10.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11. Hiyama T, Yoshihara M, Tanaka S, et al. Defensive medicine practices among gastroenterologists in Japan. World J Gastroenterol. 2006;12(47):7671-5.</w:t>
      </w:r>
    </w:p>
    <w:p>
      <w:pPr>
        <w:spacing w:line="480" w:lineRule="auto" w:after="40"/>
      </w:pPr>
      <w:r>
        <w:rPr>
          <w:rFonts w:ascii="Times New Roman" w:hAnsi="Times New Roman"/>
          <w:sz w:val="20"/>
        </w:rPr>
        <w:t>12. Morita H. Criminal prosecution and physician supply. Int Rev Law Econ. 2018;55:1-11.</w:t>
      </w:r>
    </w:p>
    <w:p>
      <w:pPr>
        <w:spacing w:line="480" w:lineRule="auto" w:after="40"/>
      </w:pPr>
      <w:r>
        <w:rPr>
          <w:rFonts w:ascii="Times New Roman" w:hAnsi="Times New Roman"/>
          <w:sz w:val="20"/>
        </w:rPr>
        <w:t>13.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14. Supreme Court of Japan. Annual report of judicial statistics: medical malpractice litigation. Tokyo: Supreme Court; 2024. Japanese.</w:t>
      </w:r>
    </w:p>
    <w:p>
      <w:pPr>
        <w:spacing w:line="480" w:lineRule="auto" w:after="40"/>
      </w:pPr>
      <w:r>
        <w:rPr>
          <w:rFonts w:ascii="Times New Roman" w:hAnsi="Times New Roman"/>
          <w:sz w:val="20"/>
        </w:rPr>
        <w:t>15.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16. Onishi T. Impact of medical safety incidents on physician workforce and healthcare facility supply across 12 specialties in Japan: an interrupted time series analysis. Preprint. 2025.</w:t>
      </w:r>
    </w:p>
    <w:p>
      <w:pPr>
        <w:spacing w:line="480" w:lineRule="auto" w:after="40"/>
      </w:pPr>
      <w:r>
        <w:rPr>
          <w:rFonts w:ascii="Times New Roman" w:hAnsi="Times New Roman"/>
          <w:sz w:val="20"/>
        </w:rPr>
        <w:t>17. Granger CWJ. Investigating causal relations by econometric models and cross-spectral methods. Econometrica. 1969;37(3):424-38.</w:t>
      </w:r>
    </w:p>
    <w:p>
      <w:pPr>
        <w:spacing w:line="480" w:lineRule="auto" w:after="40"/>
      </w:pPr>
      <w:r>
        <w:rPr>
          <w:rFonts w:ascii="Times New Roman" w:hAnsi="Times New Roman"/>
          <w:sz w:val="20"/>
        </w:rPr>
        <w:t>18. Lütkepohl H. New Introduction to Multiple Time Series Analysis. Berlin: Springer; 2005.</w:t>
      </w:r>
    </w:p>
    <w:p>
      <w:pPr>
        <w:spacing w:line="480" w:lineRule="auto" w:after="40"/>
      </w:pPr>
      <w:r>
        <w:rPr>
          <w:rFonts w:ascii="Times New Roman" w:hAnsi="Times New Roman"/>
          <w:sz w:val="20"/>
        </w:rPr>
        <w:t>19. Toda HY, Yamamoto T. Statistical inference in vector autoregressions with possibly integrated processes. J Econom. 1995;66(1-2):225-50.</w:t>
      </w:r>
    </w:p>
    <w:p>
      <w:pPr>
        <w:spacing w:line="480" w:lineRule="auto" w:after="40"/>
      </w:pPr>
      <w:r>
        <w:rPr>
          <w:rFonts w:ascii="Times New Roman" w:hAnsi="Times New Roman"/>
          <w:sz w:val="20"/>
        </w:rPr>
        <w:t>20. Benchimol EI, Smeeth L, Guttmann A, et al. The REporting of studies Conducted using Observational Routinely-collected health Data (RECORD) statement. PLoS Med. 2015;12(10):e1001885.</w:t>
      </w:r>
    </w:p>
    <w:p>
      <w:pPr>
        <w:spacing w:line="480" w:lineRule="auto" w:after="40"/>
      </w:pPr>
      <w:r>
        <w:rPr>
          <w:rFonts w:ascii="Times New Roman" w:hAnsi="Times New Roman"/>
          <w:sz w:val="20"/>
        </w:rPr>
        <w:t>21. Ministry of Health, Labour and Welfare. Survey of physicians, dentists, and pharmacists. Tokyo: MHLW; 2024. Japanese.</w:t>
      </w:r>
    </w:p>
    <w:p>
      <w:pPr>
        <w:spacing w:line="480" w:lineRule="auto" w:after="40"/>
      </w:pPr>
      <w:r>
        <w:rPr>
          <w:rFonts w:ascii="Times New Roman" w:hAnsi="Times New Roman"/>
          <w:sz w:val="20"/>
        </w:rPr>
        <w:t>22. Ministry of Health, Labour and Welfare. Survey of medical institutions (dynamic survey). Tokyo: MHLW; 2024. Japanese.</w:t>
      </w:r>
    </w:p>
    <w:p>
      <w:pPr>
        <w:spacing w:line="480" w:lineRule="auto" w:after="40"/>
      </w:pPr>
      <w:r>
        <w:rPr>
          <w:rFonts w:ascii="Times New Roman" w:hAnsi="Times New Roman"/>
          <w:sz w:val="20"/>
        </w:rPr>
        <w:t>23. Japan Board of Medical Specialties. Specialist trainee registration statistics. Tokyo: JBMS; 2025. Japanese.</w:t>
      </w:r>
    </w:p>
    <w:p>
      <w:pPr>
        <w:spacing w:line="480" w:lineRule="auto" w:after="40"/>
      </w:pPr>
      <w:r>
        <w:rPr>
          <w:rFonts w:ascii="Times New Roman" w:hAnsi="Times New Roman"/>
          <w:sz w:val="20"/>
        </w:rPr>
        <w:t>24. Hamilton JD. Time Series Analysis. Princeton: Princeton University Press; 1994.</w:t>
      </w:r>
    </w:p>
    <w:p>
      <w:pPr>
        <w:spacing w:line="480" w:lineRule="auto" w:after="40"/>
      </w:pPr>
      <w:r>
        <w:rPr>
          <w:rFonts w:ascii="Times New Roman" w:hAnsi="Times New Roman"/>
          <w:sz w:val="20"/>
        </w:rPr>
        <w:t>25. Sims CA. Macroeconomics and reality. Econometrica. 1980;48(1):1-48.</w:t>
      </w:r>
    </w:p>
    <w:p>
      <w:pPr>
        <w:spacing w:line="480" w:lineRule="auto" w:after="40"/>
      </w:pPr>
      <w:r>
        <w:rPr>
          <w:rFonts w:ascii="Times New Roman" w:hAnsi="Times New Roman"/>
          <w:sz w:val="20"/>
        </w:rPr>
        <w:t>26. Seabold S, Perktold J. Statsmodels: econometric and statistical modeling with Python. Proc 9th Python Sci Conf. 2010:92-6.</w:t>
      </w:r>
    </w:p>
    <w:p>
      <w:pPr>
        <w:spacing w:line="480" w:lineRule="auto" w:after="40"/>
      </w:pPr>
      <w:r>
        <w:rPr>
          <w:rFonts w:ascii="Times New Roman" w:hAnsi="Times New Roman"/>
          <w:sz w:val="20"/>
        </w:rPr>
        <w:t>27.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28. Isse T, Nakamura H, Hachisuka K. Turnover of full-time occupational physicians in Japan in the period 2002–2008. Sangyo Eiseigaku Zasshi. 2012;54(5):174-83. Japanese.</w:t>
      </w:r>
    </w:p>
    <w:p>
      <w:pPr>
        <w:spacing w:line="480" w:lineRule="auto" w:after="40"/>
      </w:pPr>
      <w:r>
        <w:rPr>
          <w:rFonts w:ascii="Times New Roman" w:hAnsi="Times New Roman"/>
          <w:sz w:val="20"/>
        </w:rPr>
        <w:t>29. Currie J, MacLeod WB. First do no harm? Tort reform and birth outcomes. Q J Econ. 2008;123(2):795-830.</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