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6"/>
        </w:rPr>
        <w:t>Highlights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Specialty-level malpractice litigation risk is unrelated to physician or hospital decline in Japan.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Rate-based, measured-only designs remove size confounding and sparse-panel bias.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Equivalence and power diagnostics support an informative null result.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Perceived risk and real workforce allocation diverge because of structural incentives and status-quo bias.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Structural incentives, not litigation-avoidance messaging, are the more promising policy tool.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