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in Japan has raised concern that malpractice litigation drives physicians from high-risk specialties. We tested whether specialty-level litigation risk predicts later physician and hospital decline.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errors, equivalence tests and sensitivity analyses. The workforce grew in 11 of 12 specialties; general surgery, which changed by -2.3%, was the exception. Litigation rate was not associated with physician growth (coefficient -0.0009 per claim per 1,000 physicians; 95% CI -0.0040 to +0.0021; p=0.54) or hospital growth (p=0.90). A one-standard-deviation higher litigation rate changed physician growth by less than ±1% (TOST p=0.023) and hospital growth by less than ±2% (p=0.002); sensitivity analyses were unchanged and per-specialty rank correlations were mostly positive (10/12) and none significant. Specialty-level litigation risk in Japan is not associated with workforce decline and is statistically equivalent to a null effect within a small, policy-relevant margin. The belief that physicians flee high-litigation specialties is unsupported; structural incentives may sustain the workforce despite litigation risk.</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policy;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2"/>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sz w:val="22"/>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sz w:val="22"/>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2"/>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2"/>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sz w:val="22"/>
        </w:rPr>
        <w:t>[8]</w:t>
      </w:r>
      <w:r>
        <w:rPr>
          <w:rFonts w:ascii="Times New Roman" w:hAnsi="Times New Roman"/>
          <w:b w:val="0"/>
          <w:i w:val="0"/>
          <w:sz w:val="24"/>
        </w:rPr>
        <w:t>; closed malpractice claims by specialty from the Supreme Court of Japan</w:t>
      </w:r>
      <w:r>
        <w:rPr>
          <w:rFonts w:ascii="Times New Roman" w:hAnsi="Times New Roman"/>
          <w:sz w:val="22"/>
        </w:rPr>
        <w:t>[9]</w:t>
      </w:r>
      <w:r>
        <w:rPr>
          <w:rFonts w:ascii="Times New Roman" w:hAnsi="Times New Roman"/>
          <w:b w:val="0"/>
          <w:i w:val="0"/>
          <w:sz w:val="24"/>
        </w:rPr>
        <w:t>; and hospital counts by specialty from the annual Survey of Medical Institutions</w:t>
      </w:r>
      <w:r>
        <w:rPr>
          <w:rFonts w:ascii="Times New Roman" w:hAnsi="Times New Roman"/>
          <w:sz w:val="22"/>
        </w:rPr>
        <w:t>[10]</w:t>
      </w:r>
      <w:r>
        <w:rPr>
          <w:rFonts w:ascii="Times New Roman" w:hAnsi="Times New Roman"/>
          <w:b w:val="0"/>
          <w:i w:val="0"/>
          <w:sz w:val="24"/>
        </w:rPr>
        <w:t>. Two sensitivity series were also used: annual medical accident investigation reports by specialty from the Japan Medical Safety Research Organisation (JMSR, 2015-2025)</w:t>
      </w:r>
      <w:r>
        <w:rPr>
          <w:rFonts w:ascii="Times New Roman" w:hAnsi="Times New Roman"/>
          <w:sz w:val="22"/>
        </w:rPr>
        <w:t>[11]</w:t>
      </w:r>
      <w:r>
        <w:rPr>
          <w:rFonts w:ascii="Times New Roman" w:hAnsi="Times New Roman"/>
          <w:b w:val="0"/>
          <w:i w:val="0"/>
          <w:sz w:val="24"/>
        </w:rPr>
        <w:t xml:space="preserve"> and total national newspaper article counts from Nikkei Telecom 21 (2009-2018; keywords: 医療事故 + 医療過誤).</w:t>
      </w:r>
      <w:r>
        <w:rPr>
          <w:rFonts w:ascii="Times New Roman" w:hAnsi="Times New Roman"/>
          <w:sz w:val="22"/>
        </w:rPr>
        <w:t>[12]</w:t>
      </w:r>
      <w:r>
        <w:rPr>
          <w:rFonts w:ascii="Times New Roman" w:hAnsi="Times New Roman"/>
          <w:b w:val="0"/>
          <w:i w:val="0"/>
          <w:sz w:val="24"/>
        </w:rPr>
        <w:t xml:space="preserve"> The full extraction pipeline (with source identifiers and SHA-256 checksums) is documented in the accompanying repository.</w:t>
      </w:r>
    </w:p>
    <w:p>
      <w:pPr>
        <w:spacing w:line="480" w:lineRule="auto" w:after="120"/>
      </w:pPr>
      <w:r>
        <w:rPr>
          <w:rFonts w:ascii="Times New Roman" w:hAnsi="Times New Roman"/>
          <w:b w:val="0"/>
          <w:i w:val="0"/>
          <w:sz w:val="24"/>
        </w:rPr>
        <w:t>Physician counts use the principal-specialty (主たる診疗科)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2"/>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sz w:val="22"/>
        </w:rPr>
        <w:t>[11]</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2"/>
        </w:rPr>
        <w:t>[13]</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2"/>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2"/>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These last two tests evaluate whether the litigation coefficient is confounded by or collinear with broader accident reporting or media coverage.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1; Table 2)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p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-0.0040, +0.0021</w:t>
            </w:r>
          </w:p>
        </w:tc>
        <w:tc>
          <w:tcPr>
            <w:tcW w:type="dxa" w:w="1872"/>
          </w:tcPr>
          <w:p>
            <w:pPr>
              <w:jc w:val="center"/>
            </w:pPr>
            <w:r>
              <w:rPr>
                <w:rFonts w:ascii="Times New Roman" w:hAnsi="Times New Roman"/>
                <w:sz w:val="18"/>
              </w:rPr>
              <w:t>0.54</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-0.0044, +0.0050</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0.49</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0.37</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2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size confounding and interpolation are sufficient to create spurious associations. The JOCS-CP indicator was associated with obstetric hospital growth (coefficient +0.024, p=0.003), consistent with a structural policy effect in the specialty most central to this debate.</w:t>
      </w:r>
    </w:p>
    <w:p>
      <w:pPr>
        <w:spacing w:before="280" w:after="120"/>
      </w:pPr>
      <w:r>
        <w:rPr>
          <w:rFonts w:ascii="Times New Roman" w:hAnsi="Times New Roman"/>
          <w:b/>
          <w:sz w:val="20"/>
        </w:rPr>
        <w:t>Figure 2.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p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the JMSR medical accident investigation report counts as a potential confounder or competing exposure.</w:t>
      </w:r>
      <w:r>
        <w:rPr>
          <w:rFonts w:ascii="Times New Roman" w:hAnsi="Times New Roman"/>
          <w:sz w:val="22"/>
        </w:rPr>
        <w:t>[11]</w:t>
      </w:r>
      <w:r>
        <w:rPr>
          <w:rFonts w:ascii="Times New Roman" w:hAnsi="Times New Roman"/>
          <w:b w:val="0"/>
          <w:i w:val="0"/>
          <w:sz w:val="24"/>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p=0.26) and the JMSR term was not associated with hospital growth (p=0.66; Supplementary Table 3). Thus, the null litigation result is not explained by, nor masked by, broader medical 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sz w:val="22"/>
        </w:rPr>
        <w:t>[12]</w:t>
      </w:r>
      <w:r>
        <w:rPr>
          <w:rFonts w:ascii="Times New Roman" w:hAnsi="Times New Roman"/>
          <w:b w:val="0"/>
          <w:i w:val="0"/>
          <w:sz w:val="24"/>
        </w:rPr>
        <w:t xml:space="preserve"> Total annual article counts (keywords: 医療事故 + 医療過誤) and total litigation counts were correlated (Pearson r=0.81), consistent with the public salience of high-litigation years; however, within the annual hospital panel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(p=0.18; Supplementary Table 4). Media coverage therefore does not account for the null litigation effect either.</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16 years of official data.</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This is an important distinction for policy debates that treat malpractice pressure as a major driver of physician distribution.</w:t>
      </w:r>
    </w:p>
    <w:p>
      <w:pPr>
        <w:spacing w:line="480" w:lineRule="auto" w:after="120"/>
      </w:pPr>
      <w:r>
        <w:rPr>
          <w:rFonts w:ascii="Times New Roman" w:hAnsi="Times New Roman"/>
          <w:b w:val="0"/>
          <w:i w:val="0"/>
          <w:sz w:val="24"/>
        </w:rPr>
        <w:t>The raw-count sensitivity in our study did not recover a negative association, indicating that size confounding and interpolation are sufficient to produce spurious negative findings.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sz w:val="22"/>
        </w:rPr>
        <w:t>[14]</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sz w:val="22"/>
        </w:rPr>
        <w:t>[15]</w:t>
      </w:r>
      <w:r>
        <w:rPr>
          <w:rFonts w:ascii="Times New Roman" w:hAnsi="Times New Roman"/>
          <w:b w:val="0"/>
          <w:i w:val="0"/>
          <w:sz w:val="24"/>
        </w:rPr>
        <w:t xml:space="preserve"> Frakes and co-workers showed that negligence-standard reforms could shift the composition of the physician workforce toward surgery in some regions, yet the effect was localized and modest.</w:t>
      </w:r>
      <w:r>
        <w:rPr>
          <w:rFonts w:ascii="Times New Roman" w:hAnsi="Times New Roman"/>
          <w:sz w:val="22"/>
        </w:rPr>
        <w:t>[16]</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sz w:val="22"/>
        </w:rPr>
        <w:t>[17]</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sz w:val="22"/>
        </w:rPr>
        <w:t>[18]</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sz w:val="22"/>
        </w:rPr>
        <w:t>[19]</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sz w:val="22"/>
        </w:rPr>
        <w:t>[20]</w:t>
      </w:r>
      <w:r>
        <w:rPr>
          <w:rFonts w:ascii="Times New Roman" w:hAnsi="Times New Roman"/>
          <w:b w:val="0"/>
          <w:i w:val="0"/>
          <w:sz w:val="24"/>
        </w:rPr>
        <w:t xml:space="preserve"> Our hospital-level JOCS-CP indicator is associated with obstetric hospital growth, suggesting that removing adversarial litigation pressure can support facility supply, although we cannot isolate the compensation effect from concurrent obstetric policies.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sz w:val="22"/>
        </w:rPr>
        <w:t>[21]</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sz w:val="22"/>
        </w:rPr>
        <w:t>[22]</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sz w:val="22"/>
        </w:rPr>
        <w:t>[23]</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This is not to say that malpractice reform is irrelevant: it may influence defensive medicine, patient compensation, and provider-patient trust. But our evidence does not support the claim that lowering litigation risk will retain physicians in high-risk specialties, and litigation-avoidance messaging should not be the centrepiece of workforce policy.</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sz w:val="22"/>
        </w:rPr>
        <w:t>[24]</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sz w:val="22"/>
        </w:rPr>
        <w:t>[25]</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sz w:val="22"/>
        </w:rPr>
        <w:t>[26]</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is that it does not, at least not in a way that is detectable or policy-relevant in 16 years of national data.</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sz w:val="22"/>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Nikkei Inc. Nikkei Telecom 21 (新聞・情報データベース). Tokyo: Nikkei Inc. Accessed 2024.</w:t>
      </w:r>
    </w:p>
    <w:p>
      <w:pPr>
        <w:spacing w:line="360" w:lineRule="auto"/>
      </w:pPr>
      <w:r>
        <w:rPr>
          <w:rFonts w:ascii="Times New Roman" w:hAnsi="Times New Roman"/>
          <w:sz w:val="20"/>
        </w:rPr>
        <w:t>13. Angrist JD, Pischke JS. Mostly Harmless Econometrics. Princeton: Princeton University Press; 2009.</w:t>
      </w:r>
    </w:p>
    <w:p>
      <w:pPr>
        <w:spacing w:line="360" w:lineRule="auto"/>
      </w:pPr>
      <w:r>
        <w:rPr>
          <w:rFonts w:ascii="Times New Roman" w:hAnsi="Times New Roman"/>
          <w:sz w:val="20"/>
        </w:rPr>
        <w:t>14. Matsa DA. Does malpractice liability keep the doctor away? Evidence from tort reform damage caps. J Legal Stud. 2007;36(S2):S143-S182.</w:t>
      </w:r>
    </w:p>
    <w:p>
      <w:pPr>
        <w:spacing w:line="360" w:lineRule="auto"/>
      </w:pPr>
      <w:r>
        <w:rPr>
          <w:rFonts w:ascii="Times New Roman" w:hAnsi="Times New Roman"/>
          <w:sz w:val="20"/>
        </w:rPr>
        <w:t>15. Hyman DA, Silver C, Black B, Paik M. Does tort reform affect physician supply? Evidence from Texas. Int Rev Law Econ. 2015;42:203-218.</w:t>
      </w:r>
    </w:p>
    <w:p>
      <w:pPr>
        <w:spacing w:line="360" w:lineRule="auto"/>
      </w:pPr>
      <w:r>
        <w:rPr>
          <w:rFonts w:ascii="Times New Roman" w:hAnsi="Times New Roman"/>
          <w:sz w:val="20"/>
        </w:rPr>
        <w:t>16. Frakes MD, Frank MB, Seabury SA. The effect of malpractice law on physician supply: Evidence from negligence-standard reforms. J Health Econ. 2020;70:1-16.</w:t>
      </w:r>
    </w:p>
    <w:p>
      <w:pPr>
        <w:spacing w:line="360" w:lineRule="auto"/>
      </w:pPr>
      <w:r>
        <w:rPr>
          <w:rFonts w:ascii="Times New Roman" w:hAnsi="Times New Roman"/>
          <w:sz w:val="20"/>
        </w:rPr>
        <w:t>17. Kessler DP, McClellan MB. Do doctors practice defensive medicine?. Q J Econ. 1996;111(2):353-390.</w:t>
      </w:r>
    </w:p>
    <w:p>
      <w:pPr>
        <w:spacing w:line="360" w:lineRule="auto"/>
      </w:pPr>
      <w:r>
        <w:rPr>
          <w:rFonts w:ascii="Times New Roman" w:hAnsi="Times New Roman"/>
          <w:sz w:val="20"/>
        </w:rPr>
        <w:t>18. Sloan FA, Shadle JH. Is there empirical evidence for "Defensive Medicine"? A reassessment. J Health Econ. 2008;27(2):481-491.</w:t>
      </w:r>
    </w:p>
    <w:p>
      <w:pPr>
        <w:spacing w:line="360" w:lineRule="auto"/>
      </w:pPr>
      <w:r>
        <w:rPr>
          <w:rFonts w:ascii="Times New Roman" w:hAnsi="Times New Roman"/>
          <w:sz w:val="20"/>
        </w:rPr>
        <w:t>19. Taniguchi K, Watari T, Nagoshi K. Characteristics and trends of medical malpractice claims in Japan between 2006 and 2021. PLoS One. 2023;18(12):e0296155.</w:t>
      </w:r>
    </w:p>
    <w:p>
      <w:pPr>
        <w:spacing w:line="360" w:lineRule="auto"/>
      </w:pPr>
      <w:r>
        <w:rPr>
          <w:rFonts w:ascii="Times New Roman" w:hAnsi="Times New Roman"/>
          <w:sz w:val="20"/>
        </w:rPr>
        <w:t>20.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21. Morita H. Criminal prosecution and physician supply. Int Rev Law Econ. 2018;55:1-11.</w:t>
      </w:r>
    </w:p>
    <w:p>
      <w:pPr>
        <w:spacing w:line="360" w:lineRule="auto"/>
      </w:pPr>
      <w:r>
        <w:rPr>
          <w:rFonts w:ascii="Times New Roman" w:hAnsi="Times New Roman"/>
          <w:sz w:val="20"/>
        </w:rPr>
        <w:t>22. Kamijo K, Wada Y, Ishida K, Warsof SL, Saade G, Kawakita T. Medical-legal claims in obstetrics and gynecology: Japan versus the United States. J Healthc Risk Manag. 2025;44(4):5-11.</w:t>
      </w:r>
    </w:p>
    <w:p>
      <w:pPr>
        <w:spacing w:line="360" w:lineRule="auto"/>
      </w:pPr>
      <w:r>
        <w:rPr>
          <w:rFonts w:ascii="Times New Roman" w:hAnsi="Times New Roman"/>
          <w:sz w:val="20"/>
        </w:rPr>
        <w:t>23.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24.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25.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26.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