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which changed by -2.3%, was the exception.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A fourth series, annual medical accident investigation reports by specialty from the Japan Medical Safety Research Organisation (JMSR, 2015-2025), was used in a sensitivity analysis.</w:t>
      </w:r>
      <w:r>
        <w:rPr>
          <w:rFonts w:ascii="Times New Roman" w:hAnsi="Times New Roman"/>
          <w:sz w:val="22"/>
        </w:rPr>
        <w:t>[11]</w:t>
      </w:r>
      <w:r>
        <w:rPr>
          <w:rFonts w:ascii="Times New Roman" w:hAnsi="Times New Roman"/>
          <w:b w:val="0"/>
          <w:i w:val="0"/>
          <w:sz w:val="24"/>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and (iv) the annual hospital series 2016-2024 additionally controlling for the JMSR report rate (reports per 1,000 physicians). This last test evaluates whether the litigation coefficient is confounded by or collinear with broader medical accident reporting.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size confounding and interpolation are sufficient to create spurious associations.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2"/>
        </w:rPr>
        <w:t>[11]</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p=0.26) and the JMSR term was not associated with hospital growth (p=0.66; Supplementary Table 3). Thus, the null litigation result is not explained by, nor masked by, broader medical accident reporting.</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2"/>
        </w:rPr>
        <w:t>[13]</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2"/>
        </w:rPr>
        <w:t>[14]</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sz w:val="22"/>
        </w:rPr>
        <w:t>[15]</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2"/>
        </w:rPr>
        <w:t>[16]</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2"/>
        </w:rPr>
        <w:t>[17]</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2"/>
        </w:rPr>
        <w:t>[18]</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2"/>
        </w:rPr>
        <w:t>[19]</w:t>
      </w:r>
      <w:r>
        <w:rPr>
          <w:rFonts w:ascii="Times New Roman" w:hAnsi="Times New Roman"/>
          <w:b w:val="0"/>
          <w:i w:val="0"/>
          <w:sz w:val="24"/>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2"/>
        </w:rPr>
        <w:t>[20]</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2"/>
        </w:rPr>
        <w:t>[21]</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2"/>
        </w:rPr>
        <w:t>[22]</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2"/>
        </w:rPr>
        <w:t>[23]</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2"/>
        </w:rPr>
        <w:t>[24]</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2"/>
        </w:rPr>
        <w:t>[25]</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p>
      <w:pPr>
        <w:spacing w:line="360" w:lineRule="auto"/>
      </w:pPr>
      <w:r>
        <w:rPr>
          <w:rFonts w:ascii="Times New Roman" w:hAnsi="Times New Roman"/>
          <w:sz w:val="20"/>
        </w:rPr>
        <w:t>13. Matsa DA. Does malpractice liability keep the doctor away? Evidence from tort reform damage caps. J Legal Stud. 2007;36(S2):S143-S182.</w:t>
      </w:r>
    </w:p>
    <w:p>
      <w:pPr>
        <w:spacing w:line="360" w:lineRule="auto"/>
      </w:pPr>
      <w:r>
        <w:rPr>
          <w:rFonts w:ascii="Times New Roman" w:hAnsi="Times New Roman"/>
          <w:sz w:val="20"/>
        </w:rPr>
        <w:t>14. Hyman DA, Silver C, Black B, Paik M. Does tort reform affect physician supply? Evidence from Texas. Int Rev Law Econ. 2015;42:203-218.</w:t>
      </w:r>
    </w:p>
    <w:p>
      <w:pPr>
        <w:spacing w:line="360" w:lineRule="auto"/>
      </w:pPr>
      <w:r>
        <w:rPr>
          <w:rFonts w:ascii="Times New Roman" w:hAnsi="Times New Roman"/>
          <w:sz w:val="20"/>
        </w:rPr>
        <w:t>15. Frakes MD, Frank MB, Seabury SA. The effect of malpractice law on physician supply: Evidence from negligence-standard reforms. J Health Econ. 2020;70:1-16.</w:t>
      </w:r>
    </w:p>
    <w:p>
      <w:pPr>
        <w:spacing w:line="360" w:lineRule="auto"/>
      </w:pPr>
      <w:r>
        <w:rPr>
          <w:rFonts w:ascii="Times New Roman" w:hAnsi="Times New Roman"/>
          <w:sz w:val="20"/>
        </w:rPr>
        <w:t>16. Kessler DP, McClellan MB. Do doctors practice defensive medicine?. Q J Econ. 1996;111(2):353-390.</w:t>
      </w:r>
    </w:p>
    <w:p>
      <w:pPr>
        <w:spacing w:line="360" w:lineRule="auto"/>
      </w:pPr>
      <w:r>
        <w:rPr>
          <w:rFonts w:ascii="Times New Roman" w:hAnsi="Times New Roman"/>
          <w:sz w:val="20"/>
        </w:rPr>
        <w:t>17. Sloan FA, Shadle JH. Is there empirical evidence for "Defensive Medicine"? A reassessment. J Health Econ. 2008;27(2):481-491.</w:t>
      </w:r>
    </w:p>
    <w:p>
      <w:pPr>
        <w:spacing w:line="360" w:lineRule="auto"/>
      </w:pPr>
      <w:r>
        <w:rPr>
          <w:rFonts w:ascii="Times New Roman" w:hAnsi="Times New Roman"/>
          <w:sz w:val="20"/>
        </w:rPr>
        <w:t>18. Taniguchi K, Watari T, Nagoshi K. Characteristics and trends of medical malpractice claims in Japan between 2006 and 2021. PLoS One. 2023;18(12):e0296155.</w:t>
      </w:r>
    </w:p>
    <w:p>
      <w:pPr>
        <w:spacing w:line="360" w:lineRule="auto"/>
      </w:pPr>
      <w:r>
        <w:rPr>
          <w:rFonts w:ascii="Times New Roman" w:hAnsi="Times New Roman"/>
          <w:sz w:val="20"/>
        </w:rPr>
        <w:t>19.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20. Morita H. Criminal prosecution and physician supply. Int Rev Law Econ. 2018;55:1-11.</w:t>
      </w:r>
    </w:p>
    <w:p>
      <w:pPr>
        <w:spacing w:line="360" w:lineRule="auto"/>
      </w:pPr>
      <w:r>
        <w:rPr>
          <w:rFonts w:ascii="Times New Roman" w:hAnsi="Times New Roman"/>
          <w:sz w:val="20"/>
        </w:rPr>
        <w:t>21.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22.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23.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24.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25.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