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in Japan, 2008–2024: a rate-based analysis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2704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Full-length article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2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