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STROBE Statement — checklist for observational studies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No.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Location/《addressed》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Title and abstract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Rate-based re-analysis design stated in title; structured abstract.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Background/rationale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Specialty maldistribution and the flight-from-risk hypothesis (Introduction).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Objectives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Test association of litigation rate with workforce/hospital change; equivalence.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Study design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Ecological panel across 12 specialties, 2008–2024, biennial grid.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Setting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Japan; national administrative and judicial statistics.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Variables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Exposure: litigation rate per 1,000 physicians; outcomes: log-change in physicians/hospitals; JOCS-CP indicator.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Data sources/measurement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MHLW physician statistics, Supreme Court litigation, MHLW facility survey (Table 1).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Bias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Size confounding removed by rates; interpolation avoided in primary analysis.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Study size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All 12 core specialties; 9 measured biennial waves.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Quantitative variables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Litigation rate; standardised exposure for TOST.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Statistical methods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Panel FE (specialty, wave), cluster-robust SE, TOST, sensitivity analyses.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Descriptive/main results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13-16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Trends (Figs 1–2, Table 2), null panel and equivalence (Table 3–4, Fig 3), counts vs rates (Fig 4).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Limitations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Ecological; biennial resolution; litigation ≠ incident risk; 2004–2007 unavailable.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Interpretation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 support for flight-from-risk; structural incentives discussed.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Generalisability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Japan specialty-level; not individual careers.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Funding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None.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