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From plant to pot: Acid-activated montmorillonite cartridge filters as a consumer-side cooking oil restoration paradigm</w:t>
      </w:r>
    </w:p>
    <w:p/>
    <w:p>
      <w:r>
        <w:rPr>
          <w:b/>
          <w:sz w:val="24"/>
        </w:rPr>
        <w:t>Highlights</w:t>
      </w:r>
    </w:p>
    <w:p>
      <w:pPr>
        <w:pStyle w:val="ListBullet"/>
      </w:pPr>
      <w:r>
        <w:rPr>
          <w:sz w:val="20"/>
        </w:rPr>
        <w:t>Bleaching earth (acid-activated montmorillonite) is the industrial standard for edible oil refining</w:t>
      </w:r>
    </w:p>
    <w:p>
      <w:pPr>
        <w:pStyle w:val="ListBullet"/>
      </w:pPr>
      <w:r>
        <w:rPr>
          <w:sz w:val="20"/>
        </w:rPr>
        <w:t>Consumer oil pots use only physical filters with no chemical purification capability</w:t>
      </w:r>
    </w:p>
    <w:p>
      <w:pPr>
        <w:pStyle w:val="ListBullet"/>
      </w:pPr>
      <w:r>
        <w:rPr>
          <w:sz w:val="20"/>
        </w:rPr>
        <w:t>MMT cartridge filters selectively adsorb polar degradation products while retaining triglycerides</w:t>
      </w:r>
    </w:p>
    <w:p>
      <w:pPr>
        <w:pStyle w:val="ListBullet"/>
      </w:pPr>
      <w:r>
        <w:rPr>
          <w:sz w:val="20"/>
        </w:rPr>
        <w:t>Projected acid value reduction of 30-50% and polar compound reduction of 20-40% per pass</w:t>
      </w:r>
    </w:p>
    <w:p>
      <w:pPr>
        <w:pStyle w:val="ListBullet"/>
      </w:pPr>
      <w:r>
        <w:rPr>
          <w:sz w:val="20"/>
        </w:rPr>
        <w:t>Existing oil pot infrastructure enables immediate consumer adoption without new equipment</w:t>
      </w:r>
    </w:p>
    <w:p/>
    <w:p>
      <w:r>
        <w:rPr>
          <w:b/>
        </w:rPr>
        <w:t xml:space="preserve">Keywords: </w:t>
      </w:r>
      <w:r>
        <w:t>Montmorillonite; Bleaching earth; Cooking oil restoration; Acid-activated clay; Oil pot filter; Selective adsorption</w:t>
      </w:r>
    </w:p>
    <w:p/>
    <w:p>
      <w:r>
        <w:rPr>
          <w:b/>
          <w:sz w:val="24"/>
        </w:rPr>
        <w:t>Abstract</w:t>
      </w:r>
    </w:p>
    <w:p>
      <w:r>
        <w:t>The global practice of reusing cooking oil after deep-frying generates chemically degraded oil containing elevated levels of free fatty acids (FFA), polar compounds, peroxides, and polymeric triglycerides. While industrial edible oil refining has relied on acid-activated montmorillonite (bleaching earth) for selective removal of polar degradation products for over a century, this proven technology has never been translated to the consumer setting. Current household oil pots employ paper or activated carbon filters that provide only physical filtration of particulates, with negligible chemical purification. This Commentary proposes a paradigm shift: cartridge-format filters containing granulated acid-activated montmorillonite, compatible with existing oil pots, that selectively adsorb polar degradation products while retaining triglycerides. Drawing on industrial bleaching earth performance data and the established food-safety profile of bentonite (FDA GRAS 21 CFR 184.1155; EU E558), we project acid value reductions of 30-50% and total polar compound reductions of 20-40% per filtration pass at recommended temperatures (50-100 C). This approach could extend cooking oil lifespan 2-3 fold, reducing household food waste and oil purchasing costs. Manufacturing infrastructure already exists in both the bleaching earth and oil pot filter industries, making near-term commercialization feasible.</w:t>
      </w:r>
    </w:p>
    <w:p/>
    <w:p>
      <w:r>
        <w:rPr>
          <w:b/>
          <w:sz w:val="24"/>
        </w:rPr>
        <w:t>1. Introduction: The cooking oil reuse problem</w:t>
      </w:r>
    </w:p>
    <w:p>
      <w:r>
        <w:rPr>
          <w:sz w:val="22"/>
        </w:rPr>
        <w:t>Deep-frying is one of the most widespread cooking methods globally, with an estimated 20 million tonnes of cooking oil consumed annually for frying applications.</w:t>
      </w:r>
      <w:r>
        <w:rPr>
          <w:sz w:val="16"/>
          <w:vertAlign w:val="superscript"/>
        </w:rPr>
        <w:t>1</w:t>
      </w:r>
      <w:r>
        <w:rPr>
          <w:sz w:val="22"/>
        </w:rPr>
        <w:t xml:space="preserve"> During frying at 160-190 C, cooking oil undergoes thermal oxidation, hydrolysis, and polymerization, producing a complex mixture of degradation products including free fatty acids (FFA), peroxides, aldehydes, polymeric triglycerides, and polar compounds.</w:t>
      </w:r>
      <w:r>
        <w:rPr>
          <w:sz w:val="16"/>
          <w:vertAlign w:val="superscript"/>
        </w:rPr>
        <w:t>2,3</w:t>
      </w:r>
      <w:r>
        <w:rPr>
          <w:sz w:val="22"/>
        </w:rPr>
        <w:t xml:space="preserve"> These degradation products progressively accumulate with repeated use, deteriorating oil quality and raising food safety concerns.</w:t>
      </w:r>
      <w:r>
        <w:rPr>
          <w:sz w:val="16"/>
          <w:vertAlign w:val="superscript"/>
        </w:rPr>
        <w:t>4</w:t>
      </w:r>
      <w:r>
        <w:rPr>
          <w:sz w:val="22"/>
        </w:rPr>
      </w:r>
    </w:p>
    <w:p>
      <w:r>
        <w:rPr>
          <w:sz w:val="22"/>
        </w:rPr>
        <w:t>Regulatory frameworks worldwide set limits on cooking oil degradation. The European Union and many Asian countries enforce a total polar compound (TPC) limit of 25% for frying oil, while Japan's Food Sanitation Act specifies an acid value (AV) limit of 2.5 mg KOH/g.</w:t>
      </w:r>
      <w:r>
        <w:rPr>
          <w:sz w:val="16"/>
          <w:vertAlign w:val="superscript"/>
        </w:rPr>
        <w:t>5,6</w:t>
      </w:r>
      <w:r>
        <w:rPr>
          <w:sz w:val="22"/>
        </w:rPr>
        <w:t xml:space="preserve"> When oil exceeds these thresholds, it must be discarded, generating significant volumes of waste cooking oil (WCO). In Japan alone, household WCO generation is estimated at 100,000 tonnes annually.</w:t>
      </w:r>
      <w:r>
        <w:rPr>
          <w:sz w:val="16"/>
          <w:vertAlign w:val="superscript"/>
        </w:rPr>
        <w:t>7</w:t>
      </w:r>
      <w:r>
        <w:rPr>
          <w:sz w:val="22"/>
        </w:rPr>
      </w:r>
    </w:p>
    <w:p>
      <w:r>
        <w:rPr>
          <w:sz w:val="22"/>
        </w:rPr>
        <w:t>Despite these challenges, the practice of reusing cooking oil is deeply embedded in food culture. In Japan, dedicated oil pot (abura-potto) products are ubiquitous household items, used to filter and store oil between frying sessions. However, as we discuss below, current oil pot filtration technology addresses only the symptom (visible particulates) while ignoring the underlying cause (chemical degradation). This Commentary proposes a solution that bridges a century-old industrial technology with consumer convenience.</w:t>
      </w:r>
    </w:p>
    <w:p>
      <w:r>
        <w:rPr>
          <w:b/>
          <w:sz w:val="24"/>
        </w:rPr>
        <w:t>2. Industrial precedent: Bleaching earth in oil refining</w:t>
      </w:r>
    </w:p>
    <w:p>
      <w:r>
        <w:rPr>
          <w:sz w:val="22"/>
        </w:rPr>
        <w:t>Acid-activated montmorillonite, commercially known as bleaching earth or activated bleaching earth, has been the global standard for edible oil decolorization and purification since the early 20th century.</w:t>
      </w:r>
      <w:r>
        <w:rPr>
          <w:sz w:val="16"/>
          <w:vertAlign w:val="superscript"/>
        </w:rPr>
        <w:t>8,9</w:t>
      </w:r>
      <w:r>
        <w:rPr>
          <w:sz w:val="22"/>
        </w:rPr>
        <w:t xml:space="preserve"> The annual global consumption of bleaching earth exceeds 2 million tonnes, serving the refining of virtually all commercially produced vegetable oils.</w:t>
      </w:r>
      <w:r>
        <w:rPr>
          <w:sz w:val="16"/>
          <w:vertAlign w:val="superscript"/>
        </w:rPr>
        <w:t>10</w:t>
      </w:r>
      <w:r>
        <w:rPr>
          <w:sz w:val="22"/>
        </w:rPr>
      </w:r>
    </w:p>
    <w:p>
      <w:r>
        <w:rPr>
          <w:sz w:val="22"/>
        </w:rPr>
        <w:t>The effectiveness of bleaching earth derives from its unique physicochemical properties. Acid activation of montmorillonite with mineral acids (HCl or H2SO4, 2-6 M, 2-6 h) partially dissolves the octahedral sheet, creating amorphous silica domains and expanding the interlayer space.</w:t>
      </w:r>
      <w:r>
        <w:rPr>
          <w:sz w:val="16"/>
          <w:vertAlign w:val="superscript"/>
        </w:rPr>
        <w:t>11</w:t>
      </w:r>
      <w:r>
        <w:rPr>
          <w:sz w:val="22"/>
        </w:rPr>
        <w:t xml:space="preserve"> This treatment increases the specific surface area from 80-120 m2/g to 200-400 m2/g and generates abundant surface silanol groups that serve as adsorption sites for polar molecules.</w:t>
      </w:r>
      <w:r>
        <w:rPr>
          <w:sz w:val="16"/>
          <w:vertAlign w:val="superscript"/>
        </w:rPr>
        <w:t>12</w:t>
      </w:r>
      <w:r>
        <w:rPr>
          <w:sz w:val="22"/>
        </w:rPr>
        <w:t xml:space="preserve"> The resulting material selectively adsorbs polar components -- carotenoids, chlorophyll degradation products, FFA, phospholipids, peroxides, and trace metals -- while non-polar triglycerides pass through with minimal loss (oil retention typically &gt;96%).</w:t>
      </w:r>
      <w:r>
        <w:rPr>
          <w:sz w:val="16"/>
          <w:vertAlign w:val="superscript"/>
        </w:rPr>
        <w:t>8</w:t>
      </w:r>
      <w:r>
        <w:rPr>
          <w:sz w:val="22"/>
        </w:rPr>
      </w:r>
    </w:p>
    <w:p>
      <w:r>
        <w:rPr>
          <w:sz w:val="22"/>
        </w:rPr>
        <w:t>In Japan, bleaching earth manufacturers such as Mizusawa Chemical Industries and Chuo Silica supply acid-activated montmorillonite for JAS-standard refined oil production.</w:t>
      </w:r>
      <w:r>
        <w:rPr>
          <w:sz w:val="16"/>
          <w:vertAlign w:val="superscript"/>
        </w:rPr>
        <w:t>13</w:t>
      </w:r>
      <w:r>
        <w:rPr>
          <w:sz w:val="22"/>
        </w:rPr>
        <w:t xml:space="preserve"> The safety of bentonite (the parent material of montmorillonite) as a food processing aid is well established: FDA GRAS status (21 CFR 184.1155), EU approval as E558, and listing in Japan's existing food additives registry.</w:t>
      </w:r>
      <w:r>
        <w:rPr>
          <w:sz w:val="16"/>
          <w:vertAlign w:val="superscript"/>
        </w:rPr>
        <w:t>14</w:t>
      </w:r>
      <w:r>
        <w:rPr>
          <w:sz w:val="22"/>
        </w:rPr>
      </w:r>
    </w:p>
    <w:p>
      <w:r>
        <w:rPr>
          <w:sz w:val="22"/>
        </w:rPr>
        <w:t>Critically, the industrial bleaching process operates as a batch or continuous slurry process: powdered bleaching earth (&lt;0.1 mm) is dispersed directly into oil, mechanically agitated for 20-60 minutes, and then separated by filtration or centrifugation.</w:t>
      </w:r>
      <w:r>
        <w:rPr>
          <w:sz w:val="16"/>
          <w:vertAlign w:val="superscript"/>
        </w:rPr>
        <w:t>8</w:t>
      </w:r>
      <w:r>
        <w:rPr>
          <w:sz w:val="22"/>
        </w:rPr>
        <w:t xml:space="preserve"> This format is entirely unsuitable for household use. The question, therefore, is whether bleaching earth technology can be reformatted for consumer deployment -- and if so, what technical adaptations are required.</w:t>
      </w:r>
    </w:p>
    <w:p>
      <w:r>
        <w:rPr>
          <w:b/>
          <w:sz w:val="24"/>
        </w:rPr>
        <w:t>3. Current state of consumer oil filtration</w:t>
      </w:r>
    </w:p>
    <w:p>
      <w:r>
        <w:rPr>
          <w:sz w:val="22"/>
        </w:rPr>
        <w:t>The Japanese oil pot market represents a mature consumer product category with established manufacturers (KAI Corporation, Pearl Metal, Duskin) offering products ranging from simple mesh strainers to cartridge-type filter systems (Table 1).</w:t>
      </w:r>
      <w:r>
        <w:rPr>
          <w:sz w:val="16"/>
          <w:vertAlign w:val="superscript"/>
        </w:rPr>
        <w:t>15</w:t>
      </w:r>
      <w:r>
        <w:rPr>
          <w:sz w:val="22"/>
        </w:rPr>
        <w:t xml:space="preserve"> These products share a common design: hot or warm oil is poured through a filter element into a storage container, where it is held until the next frying session.</w:t>
      </w:r>
    </w:p>
    <w:p>
      <w:pPr>
        <w:spacing w:before="360"/>
      </w:pPr>
      <w:r>
        <w:rPr>
          <w:b/>
          <w:sz w:val="20"/>
        </w:rPr>
        <w:t xml:space="preserve">Table 1. </w:t>
      </w:r>
      <w:r>
        <w:rPr>
          <w:sz w:val="20"/>
        </w:rPr>
        <w:t>Comparison of consumer oil pot filter technologies.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Filter type</w:t>
            </w:r>
          </w:p>
        </w:tc>
        <w:tc>
          <w:tcPr>
            <w:tcW w:type="dxa" w:w="1728"/>
          </w:tcPr>
          <w:p>
            <w:r/>
            <w:r>
              <w:rPr>
                <w:b/>
                <w:sz w:val="18"/>
              </w:rPr>
              <w:t>Mechanism</w:t>
            </w:r>
          </w:p>
        </w:tc>
        <w:tc>
          <w:tcPr>
            <w:tcW w:type="dxa" w:w="1728"/>
          </w:tcPr>
          <w:p>
            <w:r/>
            <w:r>
              <w:rPr>
                <w:b/>
                <w:sz w:val="18"/>
              </w:rPr>
              <w:t>AV reduction</w:t>
            </w:r>
          </w:p>
        </w:tc>
        <w:tc>
          <w:tcPr>
            <w:tcW w:type="dxa" w:w="1728"/>
          </w:tcPr>
          <w:p>
            <w:r/>
            <w:r>
              <w:rPr>
                <w:b/>
                <w:sz w:val="18"/>
              </w:rPr>
              <w:t>TPC reduction</w:t>
            </w:r>
          </w:p>
        </w:tc>
        <w:tc>
          <w:tcPr>
            <w:tcW w:type="dxa" w:w="1728"/>
          </w:tcPr>
          <w:p>
            <w:r/>
            <w:r>
              <w:rPr>
                <w:b/>
                <w:sz w:val="18"/>
              </w:rPr>
              <w:t>Oil recovery</w:t>
            </w:r>
          </w:p>
        </w:tc>
      </w:tr>
      <w:tr>
        <w:tc>
          <w:tcPr>
            <w:tcW w:type="dxa" w:w="1728"/>
          </w:tcPr>
          <w:p>
            <w:r/>
            <w:r>
              <w:rPr>
                <w:b w:val="0"/>
                <w:sz w:val="18"/>
              </w:rPr>
              <w:t>Paper filter</w:t>
            </w:r>
          </w:p>
        </w:tc>
        <w:tc>
          <w:tcPr>
            <w:tcW w:type="dxa" w:w="1728"/>
          </w:tcPr>
          <w:p>
            <w:r/>
            <w:r>
              <w:rPr>
                <w:b w:val="0"/>
                <w:sz w:val="18"/>
              </w:rPr>
              <w:t>Particle filtration</w:t>
            </w:r>
          </w:p>
        </w:tc>
        <w:tc>
          <w:tcPr>
            <w:tcW w:type="dxa" w:w="1728"/>
          </w:tcPr>
          <w:p>
            <w:r/>
            <w:r>
              <w:rPr>
                <w:b w:val="0"/>
                <w:sz w:val="18"/>
              </w:rPr>
              <w:t>Negligible</w:t>
            </w:r>
          </w:p>
        </w:tc>
        <w:tc>
          <w:tcPr>
            <w:tcW w:type="dxa" w:w="1728"/>
          </w:tcPr>
          <w:p>
            <w:r/>
            <w:r>
              <w:rPr>
                <w:b w:val="0"/>
                <w:sz w:val="18"/>
              </w:rPr>
              <w:t>Negligible</w:t>
            </w:r>
          </w:p>
        </w:tc>
        <w:tc>
          <w:tcPr>
            <w:tcW w:type="dxa" w:w="1728"/>
          </w:tcPr>
          <w:p>
            <w:r/>
            <w:r>
              <w:rPr>
                <w:b w:val="0"/>
                <w:sz w:val="18"/>
              </w:rPr>
              <w:t>&gt;99%</w:t>
            </w:r>
          </w:p>
        </w:tc>
      </w:tr>
      <w:tr>
        <w:tc>
          <w:tcPr>
            <w:tcW w:type="dxa" w:w="1728"/>
          </w:tcPr>
          <w:p>
            <w:r/>
            <w:r>
              <w:rPr>
                <w:b w:val="0"/>
                <w:sz w:val="18"/>
              </w:rPr>
              <w:t>Activated carbon</w:t>
            </w:r>
          </w:p>
        </w:tc>
        <w:tc>
          <w:tcPr>
            <w:tcW w:type="dxa" w:w="1728"/>
          </w:tcPr>
          <w:p>
            <w:r/>
            <w:r>
              <w:rPr>
                <w:b w:val="0"/>
                <w:sz w:val="18"/>
              </w:rPr>
              <w:t>Non-selective adsorption</w:t>
            </w:r>
          </w:p>
        </w:tc>
        <w:tc>
          <w:tcPr>
            <w:tcW w:type="dxa" w:w="1728"/>
          </w:tcPr>
          <w:p>
            <w:r/>
            <w:r>
              <w:rPr>
                <w:b w:val="0"/>
                <w:sz w:val="18"/>
              </w:rPr>
              <w:t>~20%</w:t>
            </w:r>
          </w:p>
        </w:tc>
        <w:tc>
          <w:tcPr>
            <w:tcW w:type="dxa" w:w="1728"/>
          </w:tcPr>
          <w:p>
            <w:r/>
            <w:r>
              <w:rPr>
                <w:b w:val="0"/>
                <w:sz w:val="18"/>
              </w:rPr>
              <w:t>~15%</w:t>
            </w:r>
          </w:p>
        </w:tc>
        <w:tc>
          <w:tcPr>
            <w:tcW w:type="dxa" w:w="1728"/>
          </w:tcPr>
          <w:p>
            <w:r/>
            <w:r>
              <w:rPr>
                <w:b w:val="0"/>
                <w:sz w:val="18"/>
              </w:rPr>
              <w:t>~88%</w:t>
            </w:r>
          </w:p>
        </w:tc>
      </w:tr>
      <w:tr>
        <w:tc>
          <w:tcPr>
            <w:tcW w:type="dxa" w:w="1728"/>
          </w:tcPr>
          <w:p>
            <w:r/>
            <w:r>
              <w:rPr>
                <w:b w:val="0"/>
                <w:sz w:val="18"/>
              </w:rPr>
              <w:t>Metal mesh</w:t>
            </w:r>
          </w:p>
        </w:tc>
        <w:tc>
          <w:tcPr>
            <w:tcW w:type="dxa" w:w="1728"/>
          </w:tcPr>
          <w:p>
            <w:r/>
            <w:r>
              <w:rPr>
                <w:b w:val="0"/>
                <w:sz w:val="18"/>
              </w:rPr>
              <w:t>Coarse filtration</w:t>
            </w:r>
          </w:p>
        </w:tc>
        <w:tc>
          <w:tcPr>
            <w:tcW w:type="dxa" w:w="1728"/>
          </w:tcPr>
          <w:p>
            <w:r/>
            <w:r>
              <w:rPr>
                <w:b w:val="0"/>
                <w:sz w:val="18"/>
              </w:rPr>
              <w:t>None</w:t>
            </w:r>
          </w:p>
        </w:tc>
        <w:tc>
          <w:tcPr>
            <w:tcW w:type="dxa" w:w="1728"/>
          </w:tcPr>
          <w:p>
            <w:r/>
            <w:r>
              <w:rPr>
                <w:b w:val="0"/>
                <w:sz w:val="18"/>
              </w:rPr>
              <w:t>None</w:t>
            </w:r>
          </w:p>
        </w:tc>
        <w:tc>
          <w:tcPr>
            <w:tcW w:type="dxa" w:w="1728"/>
          </w:tcPr>
          <w:p>
            <w:r/>
            <w:r>
              <w:rPr>
                <w:b w:val="0"/>
                <w:sz w:val="18"/>
              </w:rPr>
              <w:t>&gt;99%</w:t>
            </w:r>
          </w:p>
        </w:tc>
      </w:tr>
      <w:tr>
        <w:tc>
          <w:tcPr>
            <w:tcW w:type="dxa" w:w="1728"/>
          </w:tcPr>
          <w:p>
            <w:r/>
            <w:r>
              <w:rPr>
                <w:b w:val="0"/>
                <w:sz w:val="18"/>
              </w:rPr>
              <w:t>MMT cartridge (proposed)</w:t>
            </w:r>
          </w:p>
        </w:tc>
        <w:tc>
          <w:tcPr>
            <w:tcW w:type="dxa" w:w="1728"/>
          </w:tcPr>
          <w:p>
            <w:r/>
            <w:r>
              <w:rPr>
                <w:b w:val="0"/>
                <w:sz w:val="18"/>
              </w:rPr>
              <w:t>Polar-selective adsorption</w:t>
            </w:r>
          </w:p>
        </w:tc>
        <w:tc>
          <w:tcPr>
            <w:tcW w:type="dxa" w:w="1728"/>
          </w:tcPr>
          <w:p>
            <w:r/>
            <w:r>
              <w:rPr>
                <w:b w:val="0"/>
                <w:sz w:val="18"/>
              </w:rPr>
              <w:t>30-50%</w:t>
            </w:r>
          </w:p>
        </w:tc>
        <w:tc>
          <w:tcPr>
            <w:tcW w:type="dxa" w:w="1728"/>
          </w:tcPr>
          <w:p>
            <w:r/>
            <w:r>
              <w:rPr>
                <w:b w:val="0"/>
                <w:sz w:val="18"/>
              </w:rPr>
              <w:t>20-40%</w:t>
            </w:r>
          </w:p>
        </w:tc>
        <w:tc>
          <w:tcPr>
            <w:tcW w:type="dxa" w:w="1728"/>
          </w:tcPr>
          <w:p>
            <w:r/>
            <w:r>
              <w:rPr>
                <w:b w:val="0"/>
                <w:sz w:val="18"/>
              </w:rPr>
              <w:t>&gt;96%</w:t>
            </w:r>
          </w:p>
        </w:tc>
      </w:tr>
    </w:tbl>
    <w:p/>
    <w:p>
      <w:r>
        <w:rPr>
          <w:sz w:val="22"/>
        </w:rPr>
        <w:t>Despite this product diversity, a fundamental limitation persists: all current consumer oil pot filters operate on physical filtration principles. Paper filters remove suspended particulates (batter fragments, food debris) but have no capacity for dissolved polar degradation products.</w:t>
      </w:r>
      <w:r>
        <w:rPr>
          <w:sz w:val="16"/>
          <w:vertAlign w:val="superscript"/>
        </w:rPr>
        <w:t>16</w:t>
      </w:r>
      <w:r>
        <w:rPr>
          <w:sz w:val="22"/>
        </w:rPr>
        <w:t xml:space="preserve"> Activated carbon cartridges provide some odor reduction but show minimal effect on acid value, polar compound content, or peroxide value. Moreover, activated carbon lacks polarity selectivity and can non-selectively adsorb triglycerides, reducing oil yield.</w:t>
      </w:r>
      <w:r>
        <w:rPr>
          <w:sz w:val="16"/>
          <w:vertAlign w:val="superscript"/>
        </w:rPr>
        <w:t>17</w:t>
      </w:r>
      <w:r>
        <w:rPr>
          <w:sz w:val="22"/>
        </w:rPr>
      </w:r>
    </w:p>
    <w:p>
      <w:r>
        <w:rPr>
          <w:sz w:val="22"/>
        </w:rPr>
        <w:t>This represents a striking gap: the industrial oil refining sector has perfected chemical purification of edible oils using bleaching earth for over a century, yet no consumer product has translated this capability to the household setting. The technology exists; the consumer format does not.</w:t>
      </w:r>
    </w:p>
    <w:p>
      <w:r>
        <w:rPr>
          <w:b/>
          <w:sz w:val="24"/>
        </w:rPr>
        <w:t>4. The paradigm shift: From physical filtration to chemical restoration</w:t>
      </w:r>
    </w:p>
    <w:p>
      <w:r>
        <w:rPr>
          <w:sz w:val="22"/>
        </w:rPr>
        <w:t>We propose that acid-activated montmorillonite can be formatted as replaceable cartridge filters compatible with existing oil pots, enabling consumer-side chemical restoration of used cooking oil. This represents a shift from physical filtration (particle removal) to chemical restoration (selective adsorption of polar degradation products) (Fig. 1).</w:t>
      </w:r>
    </w:p>
    <w:p>
      <w:pPr>
        <w:spacing w:before="360"/>
      </w:pPr>
      <w:r>
        <w:rPr>
          <w:b/>
          <w:sz w:val="20"/>
        </w:rPr>
        <w:t xml:space="preserve">Fig. 1. </w:t>
      </w:r>
      <w:r>
        <w:rPr>
          <w:i/>
          <w:sz w:val="20"/>
        </w:rPr>
        <w:t>Schematic comparison of industrial bleaching earth process (left: powder slurry, mechanical agitation, centrifugal separation) and proposed consumer cartridge format (right: granulated MMT, gravity flow-through, drop-in oil pot cartridge). The polarity-based selectivity mechanism is conserved across both formats.</w:t>
      </w:r>
    </w:p>
    <w:p>
      <w:r>
        <w:t>[Figure placeholder -- to be prepared for submission]</w:t>
      </w:r>
    </w:p>
    <w:p>
      <w:r>
        <w:rPr>
          <w:sz w:val="22"/>
        </w:rPr>
        <w:t>The key technical adaptations required for this translation are: (i) granulation of bleaching earth to 0.8-1.5 mm particles (vs. industrial powder &lt;0.1 mm) to enable gravity-flow filtration without particle shedding; (ii) heat-resistant cartridge construction (stainless steel mesh + heat-resistant nonwoven) compatible with oil temperatures up to 180 C; (iii) cartridge geometry matching standard oil pot dimensions (70-120 mm diameter); and (iv) consumer-friendly quality indicators for cartridge replacement timing.</w:t>
      </w:r>
    </w:p>
    <w:p>
      <w:r>
        <w:rPr>
          <w:sz w:val="22"/>
        </w:rPr>
        <w:t>The polarity-based selectivity of bleaching earth is ideally suited for this application.</w:t>
      </w:r>
      <w:r>
        <w:rPr>
          <w:sz w:val="16"/>
          <w:vertAlign w:val="superscript"/>
        </w:rPr>
        <w:t>18</w:t>
      </w:r>
      <w:r>
        <w:rPr>
          <w:sz w:val="22"/>
        </w:rPr>
        <w:t xml:space="preserve"> Degradation products (FFA, peroxides, aldehyde decomposition products) are significantly more polar than intact triglycerides, and acid-activated montmorillonite's surface silanol groups preferentially interact with these polar species. Industrial data consistently show oil retention rates &gt;96% during bleaching, indicating minimal triglyceride loss.</w:t>
      </w:r>
      <w:r>
        <w:rPr>
          <w:sz w:val="16"/>
          <w:vertAlign w:val="superscript"/>
        </w:rPr>
        <w:t>8,19</w:t>
      </w:r>
      <w:r>
        <w:rPr>
          <w:sz w:val="22"/>
        </w:rPr>
      </w:r>
    </w:p>
    <w:p>
      <w:r>
        <w:rPr>
          <w:b/>
          <w:sz w:val="24"/>
        </w:rPr>
        <w:t>5. Performance projections and quality metrics</w:t>
      </w:r>
    </w:p>
    <w:p>
      <w:r>
        <w:rPr>
          <w:sz w:val="22"/>
        </w:rPr>
        <w:t>Based on industrial bleaching earth performance data and bench-scale column adsorption studies,</w:t>
      </w:r>
      <w:r>
        <w:rPr>
          <w:sz w:val="16"/>
          <w:vertAlign w:val="superscript"/>
        </w:rPr>
        <w:t>20,21</w:t>
      </w:r>
      <w:r>
        <w:rPr>
          <w:sz w:val="22"/>
        </w:rPr>
        <w:t xml:space="preserve"> we project the following performance for a 30 g acid-activated montmorillonite cartridge processing 500 mL of used cooking oil at 80 C (Table 2).</w:t>
      </w:r>
    </w:p>
    <w:p>
      <w:pPr>
        <w:spacing w:before="360"/>
      </w:pPr>
      <w:r>
        <w:rPr>
          <w:b/>
          <w:sz w:val="20"/>
        </w:rPr>
        <w:t xml:space="preserve">Table 2. </w:t>
      </w:r>
      <w:r>
        <w:rPr>
          <w:sz w:val="20"/>
        </w:rPr>
        <w:t>Projected performance specifications for a montmorillonite oil restoration cartridge.</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Parameter</w:t>
            </w:r>
          </w:p>
        </w:tc>
        <w:tc>
          <w:tcPr>
            <w:tcW w:type="dxa" w:w="4320"/>
          </w:tcPr>
          <w:p>
            <w:r/>
            <w:r>
              <w:rPr>
                <w:b/>
                <w:sz w:val="18"/>
              </w:rPr>
              <w:t>Projected value</w:t>
            </w:r>
          </w:p>
        </w:tc>
      </w:tr>
      <w:tr>
        <w:tc>
          <w:tcPr>
            <w:tcW w:type="dxa" w:w="4320"/>
          </w:tcPr>
          <w:p>
            <w:r/>
            <w:r>
              <w:rPr>
                <w:b w:val="0"/>
                <w:sz w:val="18"/>
              </w:rPr>
              <w:t>Cartridge fill</w:t>
            </w:r>
          </w:p>
        </w:tc>
        <w:tc>
          <w:tcPr>
            <w:tcW w:type="dxa" w:w="4320"/>
          </w:tcPr>
          <w:p>
            <w:r/>
            <w:r>
              <w:rPr>
                <w:b w:val="0"/>
                <w:sz w:val="18"/>
              </w:rPr>
              <w:t>30 g acid-activated MMT (0.8-1.5 mm)</w:t>
            </w:r>
          </w:p>
        </w:tc>
      </w:tr>
      <w:tr>
        <w:tc>
          <w:tcPr>
            <w:tcW w:type="dxa" w:w="4320"/>
          </w:tcPr>
          <w:p>
            <w:r/>
            <w:r>
              <w:rPr>
                <w:b w:val="0"/>
                <w:sz w:val="18"/>
              </w:rPr>
              <w:t>Oil volume per pass</w:t>
            </w:r>
          </w:p>
        </w:tc>
        <w:tc>
          <w:tcPr>
            <w:tcW w:type="dxa" w:w="4320"/>
          </w:tcPr>
          <w:p>
            <w:r/>
            <w:r>
              <w:rPr>
                <w:b w:val="0"/>
                <w:sz w:val="18"/>
              </w:rPr>
              <w:t>500 mL</w:t>
            </w:r>
          </w:p>
        </w:tc>
      </w:tr>
      <w:tr>
        <w:tc>
          <w:tcPr>
            <w:tcW w:type="dxa" w:w="4320"/>
          </w:tcPr>
          <w:p>
            <w:r/>
            <w:r>
              <w:rPr>
                <w:b w:val="0"/>
                <w:sz w:val="18"/>
              </w:rPr>
              <w:t>Filtration temperature</w:t>
            </w:r>
          </w:p>
        </w:tc>
        <w:tc>
          <w:tcPr>
            <w:tcW w:type="dxa" w:w="4320"/>
          </w:tcPr>
          <w:p>
            <w:r/>
            <w:r>
              <w:rPr>
                <w:b w:val="0"/>
                <w:sz w:val="18"/>
              </w:rPr>
              <w:t>50-100 C (recommended 80 C)</w:t>
            </w:r>
          </w:p>
        </w:tc>
      </w:tr>
      <w:tr>
        <w:tc>
          <w:tcPr>
            <w:tcW w:type="dxa" w:w="4320"/>
          </w:tcPr>
          <w:p>
            <w:r/>
            <w:r>
              <w:rPr>
                <w:b w:val="0"/>
                <w:sz w:val="18"/>
              </w:rPr>
              <w:t>Flow time</w:t>
            </w:r>
          </w:p>
        </w:tc>
        <w:tc>
          <w:tcPr>
            <w:tcW w:type="dxa" w:w="4320"/>
          </w:tcPr>
          <w:p>
            <w:r/>
            <w:r>
              <w:rPr>
                <w:b w:val="0"/>
                <w:sz w:val="18"/>
              </w:rPr>
              <w:t>2-5 min (gravity)</w:t>
            </w:r>
          </w:p>
        </w:tc>
      </w:tr>
      <w:tr>
        <w:tc>
          <w:tcPr>
            <w:tcW w:type="dxa" w:w="4320"/>
          </w:tcPr>
          <w:p>
            <w:r/>
            <w:r>
              <w:rPr>
                <w:b w:val="0"/>
                <w:sz w:val="18"/>
              </w:rPr>
              <w:t>AV reduction</w:t>
            </w:r>
          </w:p>
        </w:tc>
        <w:tc>
          <w:tcPr>
            <w:tcW w:type="dxa" w:w="4320"/>
          </w:tcPr>
          <w:p>
            <w:r/>
            <w:r>
              <w:rPr>
                <w:b w:val="0"/>
                <w:sz w:val="18"/>
              </w:rPr>
              <w:t>30-50% per pass</w:t>
            </w:r>
          </w:p>
        </w:tc>
      </w:tr>
      <w:tr>
        <w:tc>
          <w:tcPr>
            <w:tcW w:type="dxa" w:w="4320"/>
          </w:tcPr>
          <w:p>
            <w:r/>
            <w:r>
              <w:rPr>
                <w:b w:val="0"/>
                <w:sz w:val="18"/>
              </w:rPr>
              <w:t>TPC reduction</w:t>
            </w:r>
          </w:p>
        </w:tc>
        <w:tc>
          <w:tcPr>
            <w:tcW w:type="dxa" w:w="4320"/>
          </w:tcPr>
          <w:p>
            <w:r/>
            <w:r>
              <w:rPr>
                <w:b w:val="0"/>
                <w:sz w:val="18"/>
              </w:rPr>
              <w:t>20-40% per pass</w:t>
            </w:r>
          </w:p>
        </w:tc>
      </w:tr>
      <w:tr>
        <w:tc>
          <w:tcPr>
            <w:tcW w:type="dxa" w:w="4320"/>
          </w:tcPr>
          <w:p>
            <w:r/>
            <w:r>
              <w:rPr>
                <w:b w:val="0"/>
                <w:sz w:val="18"/>
              </w:rPr>
              <w:t>PV reduction</w:t>
            </w:r>
          </w:p>
        </w:tc>
        <w:tc>
          <w:tcPr>
            <w:tcW w:type="dxa" w:w="4320"/>
          </w:tcPr>
          <w:p>
            <w:r/>
            <w:r>
              <w:rPr>
                <w:b w:val="0"/>
                <w:sz w:val="18"/>
              </w:rPr>
              <w:t>40-70% per pass</w:t>
            </w:r>
          </w:p>
        </w:tc>
      </w:tr>
      <w:tr>
        <w:tc>
          <w:tcPr>
            <w:tcW w:type="dxa" w:w="4320"/>
          </w:tcPr>
          <w:p>
            <w:r/>
            <w:r>
              <w:rPr>
                <w:b w:val="0"/>
                <w:sz w:val="18"/>
              </w:rPr>
              <w:t>Oil recovery</w:t>
            </w:r>
          </w:p>
        </w:tc>
        <w:tc>
          <w:tcPr>
            <w:tcW w:type="dxa" w:w="4320"/>
          </w:tcPr>
          <w:p>
            <w:r/>
            <w:r>
              <w:rPr>
                <w:b w:val="0"/>
                <w:sz w:val="18"/>
              </w:rPr>
              <w:t>&gt;96%</w:t>
            </w:r>
          </w:p>
        </w:tc>
      </w:tr>
      <w:tr>
        <w:tc>
          <w:tcPr>
            <w:tcW w:type="dxa" w:w="4320"/>
          </w:tcPr>
          <w:p>
            <w:r/>
            <w:r>
              <w:rPr>
                <w:b w:val="0"/>
                <w:sz w:val="18"/>
              </w:rPr>
              <w:t>Cartridge lifetime</w:t>
            </w:r>
          </w:p>
        </w:tc>
        <w:tc>
          <w:tcPr>
            <w:tcW w:type="dxa" w:w="4320"/>
          </w:tcPr>
          <w:p>
            <w:r/>
            <w:r>
              <w:rPr>
                <w:b w:val="0"/>
                <w:sz w:val="18"/>
              </w:rPr>
              <w:t>3-5 uses</w:t>
            </w:r>
          </w:p>
        </w:tc>
      </w:tr>
      <w:tr>
        <w:tc>
          <w:tcPr>
            <w:tcW w:type="dxa" w:w="4320"/>
          </w:tcPr>
          <w:p>
            <w:r/>
            <w:r>
              <w:rPr>
                <w:b w:val="0"/>
                <w:sz w:val="18"/>
              </w:rPr>
              <w:t>Cost per cartridge</w:t>
            </w:r>
          </w:p>
        </w:tc>
        <w:tc>
          <w:tcPr>
            <w:tcW w:type="dxa" w:w="4320"/>
          </w:tcPr>
          <w:p>
            <w:r/>
            <w:r>
              <w:rPr>
                <w:b w:val="0"/>
                <w:sz w:val="18"/>
              </w:rPr>
              <w:t>200-400 JPY</w:t>
            </w:r>
          </w:p>
        </w:tc>
      </w:tr>
    </w:tbl>
    <w:p/>
    <w:p>
      <w:r>
        <w:rPr>
          <w:sz w:val="22"/>
        </w:rPr>
        <w:t>Several parameters merit discussion. First, the granulated format (0.8-1.5 mm) necessarily sacrifices some adsorption kinetics compared to industrial powder (&lt;0.1 mm), but the 2-5 minute gravity flow contact time is sufficient for meaningful AV and TPC reduction.</w:t>
      </w:r>
      <w:r>
        <w:rPr>
          <w:sz w:val="16"/>
          <w:vertAlign w:val="superscript"/>
        </w:rPr>
        <w:t>20</w:t>
      </w:r>
      <w:r>
        <w:rPr>
          <w:sz w:val="22"/>
        </w:rPr>
        <w:t xml:space="preserve"> Second, the recommended filtration temperature of 50-100 C balances oil viscosity (affecting flow rate) with adsorption thermodynamics (lower temperatures favor adsorption but increase viscosity).</w:t>
      </w:r>
      <w:r>
        <w:rPr>
          <w:sz w:val="16"/>
          <w:vertAlign w:val="superscript"/>
        </w:rPr>
        <w:t>22</w:t>
      </w:r>
      <w:r>
        <w:rPr>
          <w:sz w:val="22"/>
        </w:rPr>
        <w:t xml:space="preserve"> Third, cartridge longevity of 3-5 uses is projected based on industrial bleaching earth capacity data scaled to the consumer oil volume range.</w:t>
      </w:r>
      <w:r>
        <w:rPr>
          <w:sz w:val="16"/>
          <w:vertAlign w:val="superscript"/>
        </w:rPr>
        <w:t>8</w:t>
      </w:r>
      <w:r>
        <w:rPr>
          <w:sz w:val="22"/>
        </w:rPr>
      </w:r>
    </w:p>
    <w:p>
      <w:r>
        <w:rPr>
          <w:sz w:val="22"/>
        </w:rPr>
        <w:t>The practical significance of these projections is considerable. For a household performing weekly deep-frying, extending oil lifespan from 3-4 uses to 8-10 uses would reduce annual oil purchases by approximately 50%, with corresponding reductions in waste cooking oil generation.</w:t>
      </w:r>
      <w:r>
        <w:rPr>
          <w:sz w:val="16"/>
          <w:vertAlign w:val="superscript"/>
        </w:rPr>
        <w:t>7</w:t>
      </w:r>
      <w:r>
        <w:rPr>
          <w:sz w:val="22"/>
        </w:rPr>
      </w:r>
    </w:p>
    <w:p>
      <w:r>
        <w:rPr>
          <w:b/>
          <w:sz w:val="24"/>
        </w:rPr>
        <w:t>6. Regulatory and safety considerations</w:t>
      </w:r>
    </w:p>
    <w:p>
      <w:r>
        <w:rPr>
          <w:sz w:val="22"/>
        </w:rPr>
        <w:t>The regulatory pathway for montmorillonite-based oil pot filters is straightforward, as bentonite is already approved as a food-contact material and processing aid across major jurisdictions.</w:t>
      </w:r>
      <w:r>
        <w:rPr>
          <w:sz w:val="16"/>
          <w:vertAlign w:val="superscript"/>
        </w:rPr>
        <w:t>14</w:t>
      </w:r>
      <w:r>
        <w:rPr>
          <w:sz w:val="22"/>
        </w:rPr>
        <w:t xml:space="preserve"> In Japan, bentonite is listed in the existing food additives registry and is routinely used in edible oil refining under JAS standards.</w:t>
      </w:r>
      <w:r>
        <w:rPr>
          <w:sz w:val="16"/>
          <w:vertAlign w:val="superscript"/>
        </w:rPr>
        <w:t>13</w:t>
      </w:r>
      <w:r>
        <w:rPr>
          <w:sz w:val="22"/>
        </w:rPr>
        <w:t xml:space="preserve"> The FDA classifies bentonite as GRAS (21 CFR 184.1155) with no limitation other than current good manufacturing practice, and the EU approves bentonite as E558 for food processing.</w:t>
      </w:r>
      <w:r>
        <w:rPr>
          <w:sz w:val="16"/>
          <w:vertAlign w:val="superscript"/>
        </w:rPr>
        <w:t>14</w:t>
      </w:r>
      <w:r>
        <w:rPr>
          <w:sz w:val="22"/>
        </w:rPr>
      </w:r>
    </w:p>
    <w:p>
      <w:r>
        <w:rPr>
          <w:sz w:val="22"/>
        </w:rPr>
        <w:t>A key safety consideration is the potential for residual acid (from the activation process) or trace metals (inherent to the clay mineral) to leach into the oil during filtration. Industrial practice addresses this through thorough post-activation washing until the rinse water reaches neutral pH, followed by drying and quality testing (heavy metal content, acid residue).</w:t>
      </w:r>
      <w:r>
        <w:rPr>
          <w:sz w:val="16"/>
          <w:vertAlign w:val="superscript"/>
        </w:rPr>
        <w:t>8,12</w:t>
      </w:r>
      <w:r>
        <w:rPr>
          <w:sz w:val="22"/>
        </w:rPr>
        <w:t xml:space="preserve"> The same quality controls would apply to consumer-format cartridges, with the additional advantage that the larger particle size (0.8-1.5 mm vs. &lt;0.1 mm powder) reduces the risk of particle shedding into the filtered oil.</w:t>
      </w:r>
    </w:p>
    <w:p>
      <w:r>
        <w:rPr>
          <w:sz w:val="22"/>
        </w:rPr>
        <w:t>From a product classification standpoint, the cartridge would likely be classified as a food-contact article (kitchenware) rather than a food additive, as the montmorillonite remains within the cartridge and does not become a component of the food.</w:t>
      </w:r>
      <w:r>
        <w:rPr>
          <w:sz w:val="16"/>
          <w:vertAlign w:val="superscript"/>
        </w:rPr>
        <w:t>23</w:t>
      </w:r>
      <w:r>
        <w:rPr>
          <w:sz w:val="22"/>
        </w:rPr>
        <w:t xml:space="preserve"> This classification simplifies the regulatory approval pathway.</w:t>
      </w:r>
    </w:p>
    <w:p>
      <w:r>
        <w:rPr>
          <w:b/>
          <w:sz w:val="24"/>
        </w:rPr>
        <w:t>7. Manufacturing feasibility and market considerations</w:t>
      </w:r>
    </w:p>
    <w:p>
      <w:r>
        <w:rPr>
          <w:sz w:val="22"/>
        </w:rPr>
        <w:t>A distinguishing feature of the proposed concept is that the manufacturing infrastructure already exists on both sides of the value chain. Bleaching earth production is a mature industry with established suppliers (Mizusawa Chemical Industries, Clariant, BASF, Oil-Dri) offering food-grade products.</w:t>
      </w:r>
      <w:r>
        <w:rPr>
          <w:sz w:val="16"/>
          <w:vertAlign w:val="superscript"/>
        </w:rPr>
        <w:t>10,13</w:t>
      </w:r>
      <w:r>
        <w:rPr>
          <w:sz w:val="22"/>
        </w:rPr>
        <w:t xml:space="preserve"> Oil pot filter cartridge manufacturing is similarly well-established, with existing production lines for activated carbon and paper cartridges that could be adapted for montmorillonite filling with minimal retooling.</w:t>
      </w:r>
      <w:r>
        <w:rPr>
          <w:sz w:val="16"/>
          <w:vertAlign w:val="superscript"/>
        </w:rPr>
        <w:t>15</w:t>
      </w:r>
      <w:r>
        <w:rPr>
          <w:sz w:val="22"/>
        </w:rPr>
      </w:r>
    </w:p>
    <w:p>
      <w:r>
        <w:rPr>
          <w:sz w:val="22"/>
        </w:rPr>
        <w:t>The economic proposition is favorable from both manufacturer and consumer perspectives. Montmorillonite raw material costs are low (approximately 100-300 JPY/kg for food-grade acid-activated product),</w:t>
      </w:r>
      <w:r>
        <w:rPr>
          <w:sz w:val="16"/>
          <w:vertAlign w:val="superscript"/>
        </w:rPr>
        <w:t>10</w:t>
      </w:r>
      <w:r>
        <w:rPr>
          <w:sz w:val="22"/>
        </w:rPr>
        <w:t xml:space="preserve"> translating to a material cost of 3-9 JPY per cartridge (30 g fill). Including packaging, assembly, and distribution, a consumer price of 200-400 JPY per cartridge (3-5 uses each) would yield margins comparable to existing oil pot filter products while offering substantially greater functionality.</w:t>
      </w:r>
    </w:p>
    <w:p>
      <w:r>
        <w:rPr>
          <w:sz w:val="22"/>
        </w:rPr>
        <w:t>Consumer adoption may be facilitated by the familiarity of the oil pot format in Japanese households, where the practice of filtering and reusing cooking oil is culturally embedded.</w:t>
      </w:r>
      <w:r>
        <w:rPr>
          <w:sz w:val="16"/>
          <w:vertAlign w:val="superscript"/>
        </w:rPr>
        <w:t>15</w:t>
      </w:r>
      <w:r>
        <w:rPr>
          <w:sz w:val="22"/>
        </w:rPr>
        <w:t xml:space="preserve"> The cartridge design -- a drop-in replacement for existing filter elements -- minimizes the behavioral change required for adoption.</w:t>
      </w:r>
    </w:p>
    <w:p>
      <w:r>
        <w:rPr>
          <w:b/>
          <w:sz w:val="24"/>
        </w:rPr>
        <w:t>8. Future directions and conclusions</w:t>
      </w:r>
    </w:p>
    <w:p>
      <w:r>
        <w:rPr>
          <w:sz w:val="22"/>
        </w:rPr>
        <w:t>Several research directions could advance this concept toward commercialization. First, systematic bench-scale studies are needed to optimize acid activation conditions specifically for the granulated format (balancing surface area, mechanical strength, and particle integrity during oil flow). Second, consumer-oriented quality indicators -- such as colorimetric test strips for acid value or polar compound content -- would enhance the user experience and ensure safe oil reuse practices.</w:t>
      </w:r>
      <w:r>
        <w:rPr>
          <w:sz w:val="16"/>
          <w:vertAlign w:val="superscript"/>
        </w:rPr>
        <w:t>24</w:t>
      </w:r>
      <w:r>
        <w:rPr>
          <w:sz w:val="22"/>
        </w:rPr>
        <w:t xml:space="preserve"> Third, life-cycle assessment comparing the environmental footprint of extended oil reuse (with cartridge waste) versus more frequent oil replacement would quantify the sustainability benefits.</w:t>
      </w:r>
    </w:p>
    <w:p>
      <w:r>
        <w:rPr>
          <w:sz w:val="22"/>
        </w:rPr>
        <w:t>In conclusion, the translation of bleaching earth technology from industrial oil refining to consumer oil pots represents a compelling opportunity. The science is established, the safety profile is documented, the manufacturing infrastructure exists, and the consumer need is clear. What remains is the engineering challenge of reformatting a century-old industrial technology into a cartridge that fits into the kitchen counter -- a challenge that, given the precedents in water filtration (activated carbon) and tea preparation (tea bags), appears eminently solvable.</w:t>
      </w:r>
    </w:p>
    <w:p/>
    <w:p>
      <w:r>
        <w:rPr>
          <w:b/>
          <w:sz w:val="24"/>
        </w:rPr>
        <w:t>References</w:t>
      </w:r>
    </w:p>
    <w:p>
      <w:r>
        <w:rPr>
          <w:sz w:val="20"/>
        </w:rPr>
        <w:t>1. Choe E, Min DB. Chemistry of deep-fat frying oils. J Food Sci. 2007;72(5):R77-R86.</w:t>
      </w:r>
    </w:p>
    <w:p>
      <w:r>
        <w:rPr>
          <w:sz w:val="20"/>
        </w:rPr>
        <w:t>2. Zhang Q, Saleh ASM, Chen J, Shen Q. Chemical alterations taken place during deep-fat frying based on certain reaction products: a review. Chem Phys Lipids. 2012;165(6):662-681.</w:t>
      </w:r>
    </w:p>
    <w:p>
      <w:r>
        <w:rPr>
          <w:sz w:val="20"/>
        </w:rPr>
        <w:t>3. Choe E, Min DB. Chemistry and reactions of reactive oxygen species in foods. Crit Rev Food Sci Nutr. 2006;46(1):1-22.</w:t>
      </w:r>
    </w:p>
    <w:p>
      <w:r>
        <w:rPr>
          <w:sz w:val="20"/>
        </w:rPr>
        <w:t>4. Paul S, Mittal GS. Regulating the use of degraded oil/fat in deep-fat/oil food frying. Crit Rev Food Sci Nutr. 1997;37(7):635-662.</w:t>
      </w:r>
    </w:p>
    <w:p>
      <w:r>
        <w:rPr>
          <w:sz w:val="20"/>
        </w:rPr>
        <w:t>5. Firestone D. Regulation of frying fats and oils. In: Erickson MD, editor. Deep Frying: Chemistry, Nutrition, and Practical Applications. 2nd ed. Champaign: AOCS Press; 2007. p. 373-385.</w:t>
      </w:r>
    </w:p>
    <w:p>
      <w:r>
        <w:rPr>
          <w:sz w:val="20"/>
        </w:rPr>
        <w:t>6. Ministry of Health, Labour and Welfare, Japan. Standards and Criteria for Food Additives, etc. Under the Food Sanitation Act. Tokyo: MHLW; 2020.</w:t>
      </w:r>
    </w:p>
    <w:p>
      <w:r>
        <w:rPr>
          <w:sz w:val="20"/>
        </w:rPr>
        <w:t>7. Ministry of the Environment, Japan. Food Waste Statistics 2022. Tokyo: MOE; 2023.</w:t>
      </w:r>
    </w:p>
    <w:p>
      <w:r>
        <w:rPr>
          <w:sz w:val="20"/>
        </w:rPr>
        <w:t>8. Zschau W. Bleaching of fats and oils. Eur J Lipid Sci Technol. 2001;103(8):505-551.</w:t>
      </w:r>
    </w:p>
    <w:p>
      <w:r>
        <w:rPr>
          <w:sz w:val="20"/>
        </w:rPr>
        <w:t>9. Mag T. Bleaching -- Theory and Practice. In: Wan PJ, editor. Introduction to Fats and Oils Technology. Champaign: AOCS Press; 1991. p. 124-159.</w:t>
      </w:r>
    </w:p>
    <w:p>
      <w:r>
        <w:rPr>
          <w:sz w:val="20"/>
        </w:rPr>
        <w:t>10. IMARC Group. Bleaching Earth Market: Global Industry Trends, Share, Size, Growth, Opportunity and Forecast 2024-2032. 2024.</w:t>
      </w:r>
    </w:p>
    <w:p>
      <w:r>
        <w:rPr>
          <w:sz w:val="20"/>
        </w:rPr>
        <w:t>11. Christidis GE, Scott PW, Dunham AC. Acid activation and bleaching capacity of bentonites from the islands of Milos and Chios, Aegean, Greece. Appl Clay Sci. 1997;12(4):329-347.</w:t>
      </w:r>
    </w:p>
    <w:p>
      <w:r>
        <w:rPr>
          <w:sz w:val="20"/>
        </w:rPr>
        <w:t>12. Rossi M, Gianazza M, Alamprese C, Stanga F. The role of bleaching clays and synthetic silica in palm oil physical refining. Food Chem. 2003;82(2):291-296.</w:t>
      </w:r>
    </w:p>
    <w:p>
      <w:r>
        <w:rPr>
          <w:sz w:val="20"/>
        </w:rPr>
        <w:t>13. Mizusawa Chemical Industries. Technical Data: Activated Bleaching Earth for Edible Oil Refining. Tokyo: Mizusawa; 2022.</w:t>
      </w:r>
    </w:p>
    <w:p>
      <w:r>
        <w:rPr>
          <w:sz w:val="20"/>
        </w:rPr>
        <w:t>14. U.S. Food and Drug Administration. 21 CFR 184.1155 -- Bentonite. Washington: FDA; 2023.</w:t>
      </w:r>
    </w:p>
    <w:p>
      <w:r>
        <w:rPr>
          <w:sz w:val="20"/>
        </w:rPr>
        <w:t>15. KAI Corporation. Oil Pot Product Catalog 2024. Tokyo: KAI; 2024.</w:t>
      </w:r>
    </w:p>
    <w:p>
      <w:r>
        <w:rPr>
          <w:sz w:val="20"/>
        </w:rPr>
        <w:t>16. Takeoka GR, Full GH, Dao LT. Effect of heating on the characteristics and chemical composition of selected frying oils and fats. J Agric Food Chem. 1997;45(8):3244-3249.</w:t>
      </w:r>
    </w:p>
    <w:p>
      <w:r>
        <w:rPr>
          <w:sz w:val="20"/>
        </w:rPr>
        <w:t>17. Lin S, Akoh CC, Reynolds AE. Recovery of used frying oils with adsorbent combinations: refrying and physicochemical studies. J Food Lipids. 2001;8(1):1-14.</w:t>
      </w:r>
    </w:p>
    <w:p>
      <w:r>
        <w:rPr>
          <w:sz w:val="20"/>
        </w:rPr>
        <w:t>18. Proctor A, Toro-Vazquez JF. The Freundlich isotherm in studying adsorption in oil processing. J Am Oil Chem Soc. 1996;73(12):1627-1633.</w:t>
      </w:r>
    </w:p>
    <w:p>
      <w:r>
        <w:rPr>
          <w:sz w:val="20"/>
        </w:rPr>
        <w:t>19. Miyagi A, Nakajima M. Regeneration of used frying oils using adsorption processing. J Am Oil Chem Soc. 2003;80(1):91-96.</w:t>
      </w:r>
    </w:p>
    <w:p>
      <w:r>
        <w:rPr>
          <w:sz w:val="20"/>
        </w:rPr>
        <w:t>20. Maskan M, Bagci HI. Effect of different adsorbents on purification of used sunflower seed oil utilized for frying. Eur Food Res Technol. 2003;217(3):215-218.</w:t>
      </w:r>
    </w:p>
    <w:p>
      <w:r>
        <w:rPr>
          <w:sz w:val="20"/>
        </w:rPr>
        <w:t>21. Yates RA, Caldwell JD. Adsorptive capacity of active filter aids for used cooking oil. J Am Oil Chem Soc. 1993;70(5):507-511.</w:t>
      </w:r>
    </w:p>
    <w:p>
      <w:r>
        <w:rPr>
          <w:sz w:val="20"/>
        </w:rPr>
        <w:t>22. Sabah E. Decolorization of vegetable oils: chlorophyll-a adsorption by acid-activated sepiolite. J Colloid Interface Sci. 2007;310(1):1-7.</w:t>
      </w:r>
    </w:p>
    <w:p>
      <w:r>
        <w:rPr>
          <w:sz w:val="20"/>
        </w:rPr>
        <w:t>23. Ministry of Health, Labour and Welfare, Japan. Food Contact Materials Regulations under the Food Sanitation Act. Tokyo: MHLW; 2020.</w:t>
      </w:r>
    </w:p>
    <w:p>
      <w:r>
        <w:rPr>
          <w:sz w:val="20"/>
        </w:rPr>
        <w:t>24. Osawa CC, Goncalves LAG, Ragazzi S. Determination of hydroperoxides in oils and fats using kits. J Sci Food Agric. 2007;87(9):1659-1666.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