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literature-derived global bivariate map provides broad Neanderthal and Denisovan ancestry context; its approximate values were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Sensitivity of the descriptive Neanderthal distance correlation to exclusion of designated recently admixed populations.</w:t>
      </w:r>
    </w:p>
    <w:p>
      <w:pPr>
        <w:spacing w:line="360" w:lineRule="auto" w:after="160"/>
      </w:pPr>
      <w:r>
        <w:rPr>
          <w:b/>
        </w:rPr>
        <w:t xml:space="preserve">Figure 4. </w:t>
      </w:r>
      <w:r>
        <w:t>Descriptive geographic distance correlations at 250-kb, 500-kb, and 1-Mb window sizes. Quadratic assignment procedure results are tabulated in Supplementary Data.</w:t>
      </w:r>
    </w:p>
    <w:p>
      <w:pPr>
        <w:spacing w:line="360" w:lineRule="auto" w:after="160"/>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Minard-style schematic of human dispersal and archaic introgression. Band widths, branch positions, and event placement are illustrative and do not estimate migration magnitude, ancestry proportion, or a route supported by the present analysis.</w:t>
      </w:r>
    </w:p>
    <w:p>
      <w:pPr>
        <w:spacing w:line="360" w:lineRule="auto" w:after="160"/>
      </w:pPr>
      <w:r>
        <w:rPr>
          <w:b/>
        </w:rPr>
        <w:t xml:space="preserve">Figure S3.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S4.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S5. </w:t>
      </w:r>
      <w:r>
        <w:t>Descriptive ancient and modern ABO-window summaries generated by different pipelines; no formal temporal comparison is made.</w:t>
      </w:r>
    </w:p>
    <w:p>
      <w:pPr>
        <w:spacing w:line="360" w:lineRule="auto" w:after="160"/>
      </w:pPr>
      <w:r>
        <w:rPr>
          <w:b/>
        </w:rPr>
        <w:t xml:space="preserve">Figure S6. </w:t>
      </w:r>
      <w:r>
        <w:t>Literature-derived global context. Circle size represents approximate Neanderthal ancestry and color intensity represents approximate Denisovan ancestry. Values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