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Abstract</w:t>
      </w:r>
    </w:p>
    <w:p>
      <w:pPr>
        <w:spacing w:line="360" w:lineRule="auto"/>
      </w:pPr>
      <w:r>
        <w:t>Objectives: Archaic-like segments near focal loci such as the ABO blood-group gene are frequently read as clues to blood-group history, special population connections, or migration routes, yet such readings are rarely tested against a genome-wide baseline that respects the dependence structure of pairwise data. We build a reproducible, dependence-aware baseline for population-level archaic-segment sharing and use it as a negative control for exceptional-connection and focal-locus interpretations. Materials and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and pair-level residual outliers were evaluated with population-label quadratic assignment permutations and false-discovery-rate control, with sensitivity to window size, similarity metric, sample-size threshold, dataset, zero-distance pairs, and regional omission. Results: Similarity declined with distance for Neanderthal (raw r=-0.497) and Denisovan (raw r=-0.462) profiles; expanded-model partial distance correlations were -0.369 and -0.326, with population-label permutation P values of 0.0001 and 0.0002. No non-admixed pair met both z&gt;2 and false-discovery-rate q&lt;0.10, and a prespecified ABO-window scan yielded no route-level signal. Conclusions: Population-level archaic-segment sharing reflects broad geographic structure, but under dependence-aware inference it supports neither exceptional population pairs nor an ABO-mediated migration narrative. The baseline provides a reusable standard against which focal-locus archaic claims can be evaluated.</w:t>
      </w:r>
    </w:p>
    <w:p>
      <w:r>
        <w:rPr>
          <w:b/>
        </w:rPr>
        <w:t xml:space="preserve">Keywords: </w:t>
      </w:r>
      <w:r>
        <w:t>archaic introgression; Neanderthal; Denisovan; population genetics; geographic distance;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spacing w:before="320"/>
        <w:jc w:val="center"/>
      </w:pPr>
      <w:r>
        <w:drawing>
          <wp:inline xmlns:a="http://schemas.openxmlformats.org/drawingml/2006/main" xmlns:pic="http://schemas.openxmlformats.org/drawingml/2006/picture">
            <wp:extent cx="5806440" cy="2714541"/>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14541"/>
                    </a:xfrm>
                    <a:prstGeom prst="rect"/>
                  </pic:spPr>
                </pic:pic>
              </a:graphicData>
            </a:graphic>
          </wp:inline>
        </w:drawing>
      </w:r>
    </w:p>
    <w:p>
      <w:pPr>
        <w:spacing w:before="200" w:line="276" w:lineRule="auto"/>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spacing w:before="320"/>
        <w:jc w:val="center"/>
      </w:pPr>
      <w:r>
        <w:drawing>
          <wp:inline xmlns:a="http://schemas.openxmlformats.org/drawingml/2006/main" xmlns:pic="http://schemas.openxmlformats.org/drawingml/2006/picture">
            <wp:extent cx="5806440" cy="2695784"/>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695784"/>
                    </a:xfrm>
                    <a:prstGeom prst="rect"/>
                  </pic:spPr>
                </pic:pic>
              </a:graphicData>
            </a:graphic>
          </wp:inline>
        </w:drawing>
      </w:r>
    </w:p>
    <w:p>
      <w:pPr>
        <w:spacing w:before="200" w:line="276" w:lineRule="auto"/>
      </w:pPr>
      <w:r>
        <w:rPr>
          <w:b/>
        </w:rPr>
        <w:t xml:space="preserve">Figure 2. </w:t>
      </w:r>
      <w:r>
        <w:t>Pairwise archaic-segment profile similarity for 31 prespecified populations. The subset is displayed for legibility; all 66 populations were analyzed.</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spacing w:before="320"/>
        <w:jc w:val="center"/>
      </w:pPr>
      <w:r>
        <w:drawing>
          <wp:inline xmlns:a="http://schemas.openxmlformats.org/drawingml/2006/main" xmlns:pic="http://schemas.openxmlformats.org/drawingml/2006/picture">
            <wp:extent cx="5806440" cy="3440471"/>
            <wp:docPr id="3" name="Picture 3"/>
            <wp:cNvGraphicFramePr>
              <a:graphicFrameLocks noChangeAspect="1"/>
            </wp:cNvGraphicFramePr>
            <a:graphic>
              <a:graphicData uri="http://schemas.openxmlformats.org/drawingml/2006/picture">
                <pic:pic>
                  <pic:nvPicPr>
                    <pic:cNvPr id="0" name="fig4_sensitivity_admixed.png"/>
                    <pic:cNvPicPr/>
                  </pic:nvPicPr>
                  <pic:blipFill>
                    <a:blip r:embed="rId11"/>
                    <a:stretch>
                      <a:fillRect/>
                    </a:stretch>
                  </pic:blipFill>
                  <pic:spPr>
                    <a:xfrm>
                      <a:off x="0" y="0"/>
                      <a:ext cx="5806440" cy="3440471"/>
                    </a:xfrm>
                    <a:prstGeom prst="rect"/>
                  </pic:spPr>
                </pic:pic>
              </a:graphicData>
            </a:graphic>
          </wp:inline>
        </w:drawing>
      </w:r>
    </w:p>
    <w:p>
      <w:pPr>
        <w:spacing w:before="200" w:line="276" w:lineRule="auto"/>
      </w:pPr>
      <w:r>
        <w:rPr>
          <w:b/>
        </w:rPr>
        <w:t xml:space="preserve">Figure 3. </w:t>
      </w:r>
      <w:r>
        <w:t>Sensitivity of the descriptive Neanderthal distance correlation to exclusion of designated recently admixed populations.</w:t>
      </w:r>
    </w:p>
    <w:p>
      <w:pPr>
        <w:spacing w:before="320"/>
        <w:jc w:val="center"/>
      </w:pPr>
      <w:r>
        <w:drawing>
          <wp:inline xmlns:a="http://schemas.openxmlformats.org/drawingml/2006/main" xmlns:pic="http://schemas.openxmlformats.org/drawingml/2006/picture">
            <wp:extent cx="5806440" cy="3705395"/>
            <wp:docPr id="4" name="Picture 4"/>
            <wp:cNvGraphicFramePr>
              <a:graphicFrameLocks noChangeAspect="1"/>
            </wp:cNvGraphicFramePr>
            <a:graphic>
              <a:graphicData uri="http://schemas.openxmlformats.org/drawingml/2006/picture">
                <pic:pic>
                  <pic:nvPicPr>
                    <pic:cNvPr id="0" name="fig5_window_sensitivity.png"/>
                    <pic:cNvPicPr/>
                  </pic:nvPicPr>
                  <pic:blipFill>
                    <a:blip r:embed="rId12"/>
                    <a:stretch>
                      <a:fillRect/>
                    </a:stretch>
                  </pic:blipFill>
                  <pic:spPr>
                    <a:xfrm>
                      <a:off x="0" y="0"/>
                      <a:ext cx="5806440" cy="3705395"/>
                    </a:xfrm>
                    <a:prstGeom prst="rect"/>
                  </pic:spPr>
                </pic:pic>
              </a:graphicData>
            </a:graphic>
          </wp:inline>
        </w:drawing>
      </w:r>
    </w:p>
    <w:p>
      <w:pPr>
        <w:spacing w:before="200" w:line="276" w:lineRule="auto"/>
      </w:pPr>
      <w:r>
        <w:rPr>
          <w:b/>
        </w:rPr>
        <w:t xml:space="preserve">Figure 4. </w:t>
      </w:r>
      <w:r>
        <w:t>Descriptive geographic distance correlations at 250-kb, 500-kb, and 1-Mb window sizes. Quadratic assignment procedure results are tabulated in Supplementary Data.</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spacing w:before="280"/>
      </w:pPr>
      <w:r>
        <w:rPr>
          <w:b/>
        </w:rPr>
        <w:t>Table 1. Positive-residual Neanderthal pairs after false discovery rate control</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Population 1</w:t>
            </w:r>
          </w:p>
        </w:tc>
        <w:tc>
          <w:tcPr>
            <w:tcW w:type="dxa" w:w="1337"/>
            <w:shd w:fill="D9EAF7"/>
          </w:tcPr>
          <w:p>
            <w:pPr>
              <w:spacing w:line="240" w:lineRule="auto"/>
            </w:pPr>
            <w:r>
              <w:rPr>
                <w:rFonts w:ascii="Arial" w:hAnsi="Arial"/>
                <w:b/>
                <w:sz w:val="17"/>
              </w:rPr>
              <w:t>Population 2</w:t>
            </w:r>
          </w:p>
        </w:tc>
        <w:tc>
          <w:tcPr>
            <w:tcW w:type="dxa" w:w="1337"/>
            <w:shd w:fill="D9EAF7"/>
          </w:tcPr>
          <w:p>
            <w:pPr>
              <w:spacing w:line="240" w:lineRule="auto"/>
            </w:pPr>
            <w:r>
              <w:rPr>
                <w:rFonts w:ascii="Arial" w:hAnsi="Arial"/>
                <w:b/>
                <w:sz w:val="17"/>
              </w:rPr>
              <w:t>Region 1</w:t>
            </w:r>
          </w:p>
        </w:tc>
        <w:tc>
          <w:tcPr>
            <w:tcW w:type="dxa" w:w="1337"/>
            <w:shd w:fill="D9EAF7"/>
          </w:tcPr>
          <w:p>
            <w:pPr>
              <w:spacing w:line="240" w:lineRule="auto"/>
            </w:pPr>
            <w:r>
              <w:rPr>
                <w:rFonts w:ascii="Arial" w:hAnsi="Arial"/>
                <w:b/>
                <w:sz w:val="17"/>
              </w:rPr>
              <w:t>Region 2</w:t>
            </w:r>
          </w:p>
        </w:tc>
        <w:tc>
          <w:tcPr>
            <w:tcW w:type="dxa" w:w="1337"/>
            <w:shd w:fill="D9EAF7"/>
          </w:tcPr>
          <w:p>
            <w:pPr>
              <w:spacing w:line="240" w:lineRule="auto"/>
            </w:pPr>
            <w:r>
              <w:rPr>
                <w:rFonts w:ascii="Arial" w:hAnsi="Arial"/>
                <w:b/>
                <w:sz w:val="17"/>
              </w:rPr>
              <w:t>Distance (km)</w:t>
            </w:r>
          </w:p>
        </w:tc>
        <w:tc>
          <w:tcPr>
            <w:tcW w:type="dxa" w:w="1337"/>
            <w:shd w:fill="D9EAF7"/>
          </w:tcPr>
          <w:p>
            <w:pPr>
              <w:spacing w:line="240" w:lineRule="auto"/>
            </w:pPr>
            <w:r>
              <w:rPr>
                <w:rFonts w:ascii="Arial" w:hAnsi="Arial"/>
                <w:b/>
                <w:sz w:val="17"/>
              </w:rPr>
              <w:t>Sharing (r)</w:t>
            </w:r>
          </w:p>
        </w:tc>
        <w:tc>
          <w:tcPr>
            <w:tcW w:type="dxa" w:w="1337"/>
            <w:shd w:fill="D9EAF7"/>
          </w:tcPr>
          <w:p>
            <w:pPr>
              <w:spacing w:line="240" w:lineRule="auto"/>
            </w:pPr>
            <w:r>
              <w:rPr>
                <w:rFonts w:ascii="Arial" w:hAnsi="Arial"/>
                <w:b/>
                <w:sz w:val="17"/>
              </w:rPr>
              <w:t>z-score</w:t>
            </w:r>
          </w:p>
        </w:tc>
      </w:tr>
      <w:tr>
        <w:tc>
          <w:tcPr>
            <w:tcW w:type="dxa" w:w="1337"/>
          </w:tcPr>
          <w:p>
            <w:pPr>
              <w:spacing w:line="240" w:lineRule="auto"/>
            </w:pPr>
            <w:r>
              <w:rPr>
                <w:rFonts w:ascii="Arial" w:hAnsi="Arial"/>
                <w:b w:val="0"/>
                <w:sz w:val="17"/>
              </w:rPr>
              <w:t>No qualifying pair</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No z&gt;2 and q&lt;0.10 result</w:t>
            </w:r>
          </w:p>
        </w:tc>
      </w:tr>
    </w:tbl>
    <w:p>
      <w:pPr>
        <w:spacing w:line="240" w:lineRule="auto"/>
      </w:pPr>
      <w:r>
        <w:rPr>
          <w:sz w:val="18"/>
        </w:rPr>
        <w:t>Note. The prespecified family contains all non-admixed population pairs. No pair met both z&gt;2 and Benjamini-Hochberg q&lt;0.10; the Denisovan analysis likewise identified no qualifying pair. Complete nominal rankings and dependence-aware model results are provided in Supplementary Data.</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335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spacing w:before="320"/>
        <w:jc w:val="center"/>
      </w:pPr>
      <w:r>
        <w:drawing>
          <wp:inline xmlns:a="http://schemas.openxmlformats.org/drawingml/2006/main" xmlns:pic="http://schemas.openxmlformats.org/drawingml/2006/picture">
            <wp:extent cx="5806440" cy="2332323"/>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806440" cy="2332323"/>
                    </a:xfrm>
                    <a:prstGeom prst="rect"/>
                  </pic:spPr>
                </pic:pic>
              </a:graphicData>
            </a:graphic>
          </wp:inline>
        </w:drawing>
      </w:r>
    </w:p>
    <w:p>
      <w:pPr>
        <w:spacing w:before="200" w:line="276" w:lineRule="auto"/>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spacing w:before="280"/>
      </w:pPr>
      <w:r>
        <w:rPr>
          <w:b/>
        </w:rPr>
        <w:t>Table 2. ABO-window Neanderthal-reference composition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AF7"/>
          </w:tcPr>
          <w:p>
            <w:pPr>
              <w:spacing w:line="240" w:lineRule="auto"/>
            </w:pPr>
            <w:r>
              <w:rPr>
                <w:rFonts w:ascii="Arial" w:hAnsi="Arial"/>
                <w:b/>
                <w:sz w:val="17"/>
              </w:rPr>
              <w:t>Region</w:t>
            </w:r>
          </w:p>
        </w:tc>
        <w:tc>
          <w:tcPr>
            <w:tcW w:type="dxa" w:w="1872"/>
            <w:shd w:fill="D9EAF7"/>
          </w:tcPr>
          <w:p>
            <w:pPr>
              <w:spacing w:line="240" w:lineRule="auto"/>
            </w:pPr>
            <w:r>
              <w:rPr>
                <w:rFonts w:ascii="Arial" w:hAnsi="Arial"/>
                <w:b/>
                <w:sz w:val="17"/>
              </w:rPr>
              <w:t>n</w:t>
            </w:r>
          </w:p>
        </w:tc>
        <w:tc>
          <w:tcPr>
            <w:tcW w:type="dxa" w:w="1872"/>
            <w:shd w:fill="D9EAF7"/>
          </w:tcPr>
          <w:p>
            <w:pPr>
              <w:spacing w:line="240" w:lineRule="auto"/>
            </w:pPr>
            <w:r>
              <w:rPr>
                <w:rFonts w:ascii="Arial" w:hAnsi="Arial"/>
                <w:b/>
                <w:sz w:val="17"/>
              </w:rPr>
              <w:t>Altai %</w:t>
            </w:r>
          </w:p>
        </w:tc>
        <w:tc>
          <w:tcPr>
            <w:tcW w:type="dxa" w:w="1872"/>
            <w:shd w:fill="D9EAF7"/>
          </w:tcPr>
          <w:p>
            <w:pPr>
              <w:spacing w:line="240" w:lineRule="auto"/>
            </w:pPr>
            <w:r>
              <w:rPr>
                <w:rFonts w:ascii="Arial" w:hAnsi="Arial"/>
                <w:b/>
                <w:sz w:val="17"/>
              </w:rPr>
              <w:t>Vindija %</w:t>
            </w:r>
          </w:p>
        </w:tc>
        <w:tc>
          <w:tcPr>
            <w:tcW w:type="dxa" w:w="1872"/>
            <w:shd w:fill="D9EAF7"/>
          </w:tcPr>
          <w:p>
            <w:pPr>
              <w:spacing w:line="240" w:lineRule="auto"/>
            </w:pPr>
            <w:r>
              <w:rPr>
                <w:rFonts w:ascii="Arial" w:hAnsi="Arial"/>
                <w:b/>
                <w:sz w:val="17"/>
              </w:rPr>
              <w:t>Chagyrskaya %</w:t>
            </w:r>
          </w:p>
        </w:tc>
      </w:tr>
      <w:tr>
        <w:tc>
          <w:tcPr>
            <w:tcW w:type="dxa" w:w="1872"/>
          </w:tcPr>
          <w:p>
            <w:pPr>
              <w:spacing w:line="240" w:lineRule="auto"/>
            </w:pPr>
            <w:r>
              <w:rPr>
                <w:rFonts w:ascii="Arial" w:hAnsi="Arial"/>
                <w:b w:val="0"/>
                <w:sz w:val="17"/>
              </w:rPr>
              <w:t>East Asia</w:t>
            </w:r>
          </w:p>
        </w:tc>
        <w:tc>
          <w:tcPr>
            <w:tcW w:type="dxa" w:w="1872"/>
          </w:tcPr>
          <w:p>
            <w:pPr>
              <w:spacing w:line="240" w:lineRule="auto"/>
            </w:pPr>
            <w:r>
              <w:rPr>
                <w:rFonts w:ascii="Arial" w:hAnsi="Arial"/>
                <w:b w:val="0"/>
                <w:sz w:val="17"/>
              </w:rPr>
              <w:t>57</w:t>
            </w:r>
          </w:p>
        </w:tc>
        <w:tc>
          <w:tcPr>
            <w:tcW w:type="dxa" w:w="1872"/>
          </w:tcPr>
          <w:p>
            <w:pPr>
              <w:spacing w:line="240" w:lineRule="auto"/>
            </w:pPr>
            <w:r>
              <w:rPr>
                <w:rFonts w:ascii="Arial" w:hAnsi="Arial"/>
                <w:b w:val="0"/>
                <w:sz w:val="17"/>
              </w:rPr>
              <w:t>54.4</w:t>
            </w:r>
          </w:p>
        </w:tc>
        <w:tc>
          <w:tcPr>
            <w:tcW w:type="dxa" w:w="1872"/>
          </w:tcPr>
          <w:p>
            <w:pPr>
              <w:spacing w:line="240" w:lineRule="auto"/>
            </w:pPr>
            <w:r>
              <w:rPr>
                <w:rFonts w:ascii="Arial" w:hAnsi="Arial"/>
                <w:b w:val="0"/>
                <w:sz w:val="17"/>
              </w:rPr>
              <w:t>1.8</w:t>
            </w:r>
          </w:p>
        </w:tc>
        <w:tc>
          <w:tcPr>
            <w:tcW w:type="dxa" w:w="1872"/>
          </w:tcPr>
          <w:p>
            <w:pPr>
              <w:spacing w:line="240" w:lineRule="auto"/>
            </w:pPr>
            <w:r>
              <w:rPr>
                <w:rFonts w:ascii="Arial" w:hAnsi="Arial"/>
                <w:b w:val="0"/>
                <w:sz w:val="17"/>
              </w:rPr>
              <w:t>43.9</w:t>
            </w:r>
          </w:p>
        </w:tc>
      </w:tr>
      <w:tr>
        <w:tc>
          <w:tcPr>
            <w:tcW w:type="dxa" w:w="1872"/>
          </w:tcPr>
          <w:p>
            <w:pPr>
              <w:spacing w:line="240" w:lineRule="auto"/>
            </w:pPr>
            <w:r>
              <w:rPr>
                <w:rFonts w:ascii="Arial" w:hAnsi="Arial"/>
                <w:b w:val="0"/>
                <w:sz w:val="17"/>
              </w:rPr>
              <w:t>Europe</w:t>
            </w:r>
          </w:p>
        </w:tc>
        <w:tc>
          <w:tcPr>
            <w:tcW w:type="dxa" w:w="1872"/>
          </w:tcPr>
          <w:p>
            <w:pPr>
              <w:spacing w:line="240" w:lineRule="auto"/>
            </w:pPr>
            <w:r>
              <w:rPr>
                <w:rFonts w:ascii="Arial" w:hAnsi="Arial"/>
                <w:b w:val="0"/>
                <w:sz w:val="17"/>
              </w:rPr>
              <w:t>275</w:t>
            </w:r>
          </w:p>
        </w:tc>
        <w:tc>
          <w:tcPr>
            <w:tcW w:type="dxa" w:w="1872"/>
          </w:tcPr>
          <w:p>
            <w:pPr>
              <w:spacing w:line="240" w:lineRule="auto"/>
            </w:pPr>
            <w:r>
              <w:rPr>
                <w:rFonts w:ascii="Arial" w:hAnsi="Arial"/>
                <w:b w:val="0"/>
                <w:sz w:val="17"/>
              </w:rPr>
              <w:t>7.3</w:t>
            </w:r>
          </w:p>
        </w:tc>
        <w:tc>
          <w:tcPr>
            <w:tcW w:type="dxa" w:w="1872"/>
          </w:tcPr>
          <w:p>
            <w:pPr>
              <w:spacing w:line="240" w:lineRule="auto"/>
            </w:pPr>
            <w:r>
              <w:rPr>
                <w:rFonts w:ascii="Arial" w:hAnsi="Arial"/>
                <w:b w:val="0"/>
                <w:sz w:val="17"/>
              </w:rPr>
              <w:t>46.5</w:t>
            </w:r>
          </w:p>
        </w:tc>
        <w:tc>
          <w:tcPr>
            <w:tcW w:type="dxa" w:w="1872"/>
          </w:tcPr>
          <w:p>
            <w:pPr>
              <w:spacing w:line="240" w:lineRule="auto"/>
            </w:pPr>
            <w:r>
              <w:rPr>
                <w:rFonts w:ascii="Arial" w:hAnsi="Arial"/>
                <w:b w:val="0"/>
                <w:sz w:val="17"/>
              </w:rPr>
              <w:t>46.2</w:t>
            </w:r>
          </w:p>
        </w:tc>
      </w:tr>
      <w:tr>
        <w:tc>
          <w:tcPr>
            <w:tcW w:type="dxa" w:w="1872"/>
          </w:tcPr>
          <w:p>
            <w:pPr>
              <w:spacing w:line="240" w:lineRule="auto"/>
            </w:pPr>
            <w:r>
              <w:rPr>
                <w:rFonts w:ascii="Arial" w:hAnsi="Arial"/>
                <w:b w:val="0"/>
                <w:sz w:val="17"/>
              </w:rPr>
              <w:t>Indigenous Americas</w:t>
            </w:r>
          </w:p>
        </w:tc>
        <w:tc>
          <w:tcPr>
            <w:tcW w:type="dxa" w:w="1872"/>
          </w:tcPr>
          <w:p>
            <w:pPr>
              <w:spacing w:line="240" w:lineRule="auto"/>
            </w:pPr>
            <w:r>
              <w:rPr>
                <w:rFonts w:ascii="Arial" w:hAnsi="Arial"/>
                <w:b w:val="0"/>
                <w:sz w:val="17"/>
              </w:rPr>
              <w:t>2</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c>
          <w:tcPr>
            <w:tcW w:type="dxa" w:w="1872"/>
          </w:tcPr>
          <w:p>
            <w:pPr>
              <w:spacing w:line="240" w:lineRule="auto"/>
            </w:pPr>
            <w:r>
              <w:rPr>
                <w:rFonts w:ascii="Arial" w:hAnsi="Arial"/>
                <w:b w:val="0"/>
                <w:sz w:val="17"/>
              </w:rPr>
              <w:t>0.0</w:t>
            </w:r>
          </w:p>
        </w:tc>
      </w:tr>
      <w:tr>
        <w:tc>
          <w:tcPr>
            <w:tcW w:type="dxa" w:w="1872"/>
          </w:tcPr>
          <w:p>
            <w:pPr>
              <w:spacing w:line="240" w:lineRule="auto"/>
            </w:pPr>
            <w:r>
              <w:rPr>
                <w:rFonts w:ascii="Arial" w:hAnsi="Arial"/>
                <w:b w:val="0"/>
                <w:sz w:val="17"/>
              </w:rPr>
              <w:t>Admixed Americas</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3.1</w:t>
            </w:r>
          </w:p>
        </w:tc>
        <w:tc>
          <w:tcPr>
            <w:tcW w:type="dxa" w:w="1872"/>
          </w:tcPr>
          <w:p>
            <w:pPr>
              <w:spacing w:line="240" w:lineRule="auto"/>
            </w:pPr>
            <w:r>
              <w:rPr>
                <w:rFonts w:ascii="Arial" w:hAnsi="Arial"/>
                <w:b w:val="0"/>
                <w:sz w:val="17"/>
              </w:rPr>
              <w:t>61.2</w:t>
            </w:r>
          </w:p>
        </w:tc>
        <w:tc>
          <w:tcPr>
            <w:tcW w:type="dxa" w:w="1872"/>
          </w:tcPr>
          <w:p>
            <w:pPr>
              <w:spacing w:line="240" w:lineRule="auto"/>
            </w:pPr>
            <w:r>
              <w:rPr>
                <w:rFonts w:ascii="Arial" w:hAnsi="Arial"/>
                <w:b w:val="0"/>
                <w:sz w:val="17"/>
              </w:rPr>
              <w:t>35.7</w:t>
            </w:r>
          </w:p>
        </w:tc>
      </w:tr>
      <w:tr>
        <w:tc>
          <w:tcPr>
            <w:tcW w:type="dxa" w:w="1872"/>
          </w:tcPr>
          <w:p>
            <w:pPr>
              <w:spacing w:line="240" w:lineRule="auto"/>
            </w:pPr>
            <w:r>
              <w:rPr>
                <w:rFonts w:ascii="Arial" w:hAnsi="Arial"/>
                <w:b w:val="0"/>
                <w:sz w:val="17"/>
              </w:rPr>
              <w:t>Central/South Asia</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9.2</w:t>
            </w:r>
          </w:p>
        </w:tc>
        <w:tc>
          <w:tcPr>
            <w:tcW w:type="dxa" w:w="1872"/>
          </w:tcPr>
          <w:p>
            <w:pPr>
              <w:spacing w:line="240" w:lineRule="auto"/>
            </w:pPr>
            <w:r>
              <w:rPr>
                <w:rFonts w:ascii="Arial" w:hAnsi="Arial"/>
                <w:b w:val="0"/>
                <w:sz w:val="17"/>
              </w:rPr>
              <w:t>44.9</w:t>
            </w:r>
          </w:p>
        </w:tc>
        <w:tc>
          <w:tcPr>
            <w:tcW w:type="dxa" w:w="1872"/>
          </w:tcPr>
          <w:p>
            <w:pPr>
              <w:spacing w:line="240" w:lineRule="auto"/>
            </w:pPr>
            <w:r>
              <w:rPr>
                <w:rFonts w:ascii="Arial" w:hAnsi="Arial"/>
                <w:b w:val="0"/>
                <w:sz w:val="17"/>
              </w:rPr>
              <w:t>45.9</w:t>
            </w:r>
          </w:p>
        </w:tc>
      </w:tr>
      <w:tr>
        <w:tc>
          <w:tcPr>
            <w:tcW w:type="dxa" w:w="1872"/>
          </w:tcPr>
          <w:p>
            <w:pPr>
              <w:spacing w:line="240" w:lineRule="auto"/>
            </w:pPr>
            <w:r>
              <w:rPr>
                <w:rFonts w:ascii="Arial" w:hAnsi="Arial"/>
                <w:b w:val="0"/>
                <w:sz w:val="17"/>
              </w:rPr>
              <w:t>Middle East</w:t>
            </w:r>
          </w:p>
        </w:tc>
        <w:tc>
          <w:tcPr>
            <w:tcW w:type="dxa" w:w="1872"/>
          </w:tcPr>
          <w:p>
            <w:pPr>
              <w:spacing w:line="240" w:lineRule="auto"/>
            </w:pPr>
            <w:r>
              <w:rPr>
                <w:rFonts w:ascii="Arial" w:hAnsi="Arial"/>
                <w:b w:val="0"/>
                <w:sz w:val="17"/>
              </w:rPr>
              <w:t>44</w:t>
            </w:r>
          </w:p>
        </w:tc>
        <w:tc>
          <w:tcPr>
            <w:tcW w:type="dxa" w:w="1872"/>
          </w:tcPr>
          <w:p>
            <w:pPr>
              <w:spacing w:line="240" w:lineRule="auto"/>
            </w:pPr>
            <w:r>
              <w:rPr>
                <w:rFonts w:ascii="Arial" w:hAnsi="Arial"/>
                <w:b w:val="0"/>
                <w:sz w:val="17"/>
              </w:rPr>
              <w:t>11.4</w:t>
            </w:r>
          </w:p>
        </w:tc>
        <w:tc>
          <w:tcPr>
            <w:tcW w:type="dxa" w:w="1872"/>
          </w:tcPr>
          <w:p>
            <w:pPr>
              <w:spacing w:line="240" w:lineRule="auto"/>
            </w:pPr>
            <w:r>
              <w:rPr>
                <w:rFonts w:ascii="Arial" w:hAnsi="Arial"/>
                <w:b w:val="0"/>
                <w:sz w:val="17"/>
              </w:rPr>
              <w:t>52.3</w:t>
            </w:r>
          </w:p>
        </w:tc>
        <w:tc>
          <w:tcPr>
            <w:tcW w:type="dxa" w:w="1872"/>
          </w:tcPr>
          <w:p>
            <w:pPr>
              <w:spacing w:line="240" w:lineRule="auto"/>
            </w:pPr>
            <w:r>
              <w:rPr>
                <w:rFonts w:ascii="Arial" w:hAnsi="Arial"/>
                <w:b w:val="0"/>
                <w:sz w:val="17"/>
              </w:rPr>
              <w:t>36.4</w:t>
            </w:r>
          </w:p>
        </w:tc>
      </w:tr>
      <w:tr>
        <w:tc>
          <w:tcPr>
            <w:tcW w:type="dxa" w:w="1872"/>
          </w:tcPr>
          <w:p>
            <w:pPr>
              <w:spacing w:line="240" w:lineRule="auto"/>
            </w:pPr>
            <w:r>
              <w:rPr>
                <w:rFonts w:ascii="Arial" w:hAnsi="Arial"/>
                <w:b w:val="0"/>
                <w:sz w:val="17"/>
              </w:rPr>
              <w:t>Oceania</w:t>
            </w:r>
          </w:p>
        </w:tc>
        <w:tc>
          <w:tcPr>
            <w:tcW w:type="dxa" w:w="1872"/>
          </w:tcPr>
          <w:p>
            <w:pPr>
              <w:spacing w:line="240" w:lineRule="auto"/>
            </w:pPr>
            <w:r>
              <w:rPr>
                <w:rFonts w:ascii="Arial" w:hAnsi="Arial"/>
                <w:b w:val="0"/>
                <w:sz w:val="17"/>
              </w:rPr>
              <w:t>13</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r>
    </w:tbl>
    <w:p>
      <w:pPr>
        <w:spacing w:line="240" w:lineRule="auto"/>
      </w:pPr>
      <w:r>
        <w:rPr>
          <w:sz w:val="18"/>
        </w:rPr>
        <w:t>Note. Counts are classifiable segments, not individuals. Percentages use the three-reference denominator shown by n. Equal maximum-similarity ties are excluded from these percentages but retained in Supplementary Data. The 2/2 Indigenous American value is not a regional frequency estimate; only one segment overlaps ABO.</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literature-derived global bivariate map provides broad Neanderthal and Denisovan ancestry context; its approximate values were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ajhb-submission-2026-07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