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Dear Editor,</w:t>
      </w:r>
    </w:p>
    <w:p/>
    <w:p>
      <w:r>
        <w:t>We submit our manuscript entitled "Dilution-dependent antibacterial mechanisms of honey: a systematic review and cross-study quantitative evidence synthesis" for consideration in Food Research International.</w:t>
      </w:r>
    </w:p>
    <w:p/>
    <w:p>
      <w:r>
        <w:t>Honey is widely studied as a natural antimicrobial ingredient, yet most in vitro evaluations are performed at a single concentration or over narrow ranges, and the mechanistic basis of activity is usually inferred rather than measured. Our review asks a question that sits squarely within the journal's scope at the interface of food functionality and food microbiology: does the mechanism behind honey's antibacterial activity change with dilution, rather than simply weakening?</w:t>
      </w:r>
    </w:p>
    <w:p/>
    <w:p>
      <w:r>
        <w:t>We systematically searched PubMed, Europe PMC and Crossref with programmatic citation mining and data-repository searches, screened 412 eligible primary studies, and extracted 4,650 harmonized antibacterial and physicochemical observations from open-access full texts using a fully documented, reproducible pipeline. The synthesis shows that concentration-response is consistently positive while acidity weakens on dilution; that natural honey exceeds sugar-equivalent artificial controls in most matched pairs; that catalase-resistant residual activity is substantial where measured; and that within-study chemistry-outcome associations do not currently generalize across studies. We report the last point explicitly, together with a quantified description of which eligible studies could and could not be extracted, because we believe honest accounting of evidence strength is as valuable as the positive findings.</w:t>
      </w:r>
    </w:p>
    <w:p/>
    <w:p>
      <w:r>
        <w:t>The work is relevant to readers evaluating honey as a functional food ingredient or natural preservative, because assay concentration is shown to be mechanistically informative rather than a mere dosing detail. All data and code required to regenerate every reported number and figure are provided; no proprietary or fabricated data were used.</w:t>
      </w:r>
    </w:p>
    <w:p/>
    <w:p>
      <w:r>
        <w:t>The manuscript is original, has not been published previously, and is not under consideration elsewhere. All authors have approved the submission and declare no competing interests.</w:t>
      </w:r>
    </w:p>
    <w:p/>
    <w:p>
      <w:r>
        <w:t>We hope you will find the manuscript suitable for Food Research International and thank you for your consideration.</w:t>
      </w:r>
    </w:p>
    <w:p/>
    <w:p>
      <w:r>
        <w:t>Sincerely,</w:t>
      </w:r>
    </w:p>
    <w:p>
      <w:r>
        <w:t>[Corresponding Author]</w:t>
      </w:r>
    </w:p>
    <w:p>
      <w:r>
        <w:t>[Affiliation]</w:t>
      </w:r>
    </w:p>
    <w:p>
      <w:r>
        <w:t>[E-mail]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