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r>
        <w:t>Dilution-dependent antibacterial activity of honey: a cross-study quantitative reanalysis of published experimental data</w:t>
      </w:r>
    </w:p>
    <w:p/>
    <w:p>
      <w:pPr>
        <w:pStyle w:val="ListBullet"/>
      </w:pPr>
      <w:r>
        <w:t>Honey antibacterial activity increased monotonically with concentration.</w:t>
      </w:r>
    </w:p>
    <w:p>
      <w:pPr>
        <w:pStyle w:val="ListBullet"/>
      </w:pPr>
      <w:r>
        <w:t>Acidity and osmotic constraints weakened as honey was diluted.</w:t>
      </w:r>
    </w:p>
    <w:p>
      <w:pPr>
        <w:pStyle w:val="ListBullet"/>
      </w:pPr>
      <w:r>
        <w:t>Natural honey exceeded sugar-equivalent controls in most matched pairs.</w:t>
      </w:r>
    </w:p>
    <w:p>
      <w:pPr>
        <w:pStyle w:val="ListBullet"/>
      </w:pPr>
      <w:r>
        <w:t>Catalase-resistant activity suggests non-peroxide effects in tested honeys.</w:t>
      </w:r>
    </w:p>
    <w:p>
      <w:pPr>
        <w:pStyle w:val="ListBullet"/>
      </w:pPr>
      <w:r>
        <w:t>Direct dilution-resolved peroxide measurements remain an evidence gap.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