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cross-study quantitative reanalysis of published experimental data</w:t>
      </w:r>
    </w:p>
    <w:p/>
    <w:p>
      <w:pPr>
        <w:jc w:val="center"/>
      </w:pPr>
      <w:r>
        <w:rPr>
          <w:b w:val="0"/>
          <w:sz w:val="22"/>
        </w:rPr>
        <w:t>Tatsuki Onishi a,*</w:t>
      </w:r>
    </w:p>
    <w:p>
      <w:pPr>
        <w:jc w:val="center"/>
      </w:pPr>
      <w:r>
        <w:rPr>
          <w:b w:val="0"/>
          <w:sz w:val="20"/>
        </w:rPr>
        <w:t>a Data Science and AI Innovation Research Promotion Center, Shiga University, 1-1-1 Bamba, Hikone, Shiga 522-8522, Japan</w:t>
      </w:r>
    </w:p>
    <w:p>
      <w:pPr>
        <w:jc w:val="center"/>
      </w:pPr>
      <w:r>
        <w:rPr>
          <w:b w:val="0"/>
          <w:sz w:val="20"/>
        </w:rPr>
        <w:t>* Corresponding author. E-mail address: bougtoir@gmail.com. ORCID: 0000-0001-7261-9062</w:t>
      </w:r>
    </w:p>
    <w:p>
      <w:pPr>
        <w:jc w:val="center"/>
      </w:pPr>
      <w:r>
        <w:rPr>
          <w:b w:val="0"/>
          <w:sz w:val="20"/>
        </w:rPr>
        <w:t>Submitted to: Journal of Food Science (Original Article)</w:t>
      </w:r>
    </w:p>
    <w:p>
      <w:pPr>
        <w:jc w:val="center"/>
      </w:pPr>
      <w:r>
        <w:rPr>
          <w:b w:val="0"/>
          <w:sz w:val="20"/>
        </w:rPr>
        <w:t>Word count of text (excluding references): 4,006</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cross-study quantitative reanalysis of published experimental data, guided by a systematic evidence-identification workflow,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100 open-access full texts (5,111 observations), predominantly against foodborne bacteria. All 10 extractable concentration series showed a positive association with honey concentration (median Spearman rho = 1.00), and the one complete pH ladder rose on dilution (rho = -1.00). Natural honeys exceeded sugar-equivalent controls in matched within-study comparisons (MIC potency ratio 1.81 across 12 pairs from 5 studies, with every contributing study's median above 1; median paired zone excess +0.6 mm in 2 studies). Catalase-treated honey retained a median 92% of activity (13 pairs, 2 studies). Physicochemical parameters predicted antibacterial outcomes within individual studies but not across them: leave-one-study-out cross-validated R2 was negative for chemistry- and label-based models. No extracted study measured antibacterial activity in an actual food matrix, and no extracted dataset reported a complete hydrogen peroxide dilution ladder with matched antibacterial endpoints. The evidence is consistent with dilution-dependent variation in the weight of osmotic, acidic, peroxide and non-peroxide contributions rather than a single mechanism, and it quantifies where the primary literature remains too sparse to support stronger claims.</w:t>
      </w:r>
    </w:p>
    <w:p>
      <w:r>
        <w:t>Keywords: honey; food preservation; hydrogen peroxide; methylglyoxal; water activity</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(Molan 1992; Willix and others 1992). For a food microbiologist, honey is therefore best read as an ecosystem defined by its intrinsic properties: what survives in it, and why, is set by the same physical and chemical constraints that govern microbial survival in other foods (Kwakman and others 2010; Kwakman and others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and others 2003; Brudzynski 2021), while non-peroxide factors such as methylglyoxal (MGO) simply attenuate with concentration (Kwakman and others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clinical systematic reviews have pooled efficacy for wound and resistant organisms without a dilution axis (Nolan and others 2020); and recent meta-analyses have pooled honey or medical-grade honey potency against pathogens without modelling the concentration axis (Aljadi and others 2025; Cabezas-Mera and others 2024). Honey has also been reviewed as a microbial ecosystem in its own right, with attention to the organisms that live in it rather than the factors that act on other microbes (Eryilmaz and others 2026). Single-laboratory dilution experiments exist (Bang and others 2003; Willix and others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Supplementary Fig. S1.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the honey, organism and assay were identified, the concentration basis was extractable and at least three distinct ordered concentrations were reported (four or more in a sensitivity check); no condition on the direction, monotonicity or significance of the response was applied. Natural versus artificial honey was compared within study, organism, outcome and concentration strata. MIC and MBC contrasts were expressed as log potency ratios (artificial/natural, so that values above 1 indicate greater natural-honey potency); inhibition-zone contrasts were expressed as absolute differences in millimetres, preserving zero-denominator pairs without division. Because pairs within a study are dependent, the study was the primary inferential unit: per-study median effects were computed per outcome scale and synthesized across studies descriptively, with a Wilcoxon signed-rank test across study medians where at least three studies contributed.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Percentage-unit MICs were never pooled across concentration bases (w/v, v/v, w/w or unspecified); organism medians were computed within each basis class and pooled percentage rows only descriptively. Because rows within a study are not independent, inferential contrasts were also aggregated to study level; where independent studies were too few for a valid test, results are reported descriptively.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 and discussion</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(Supplementary Fig. S1). Open-access full texts were obtained for 226 records, and quantitative data were extracted from 100 studies, yielding 5,111 harmonized observations (2,571 MIC, 1,371 inhibition-zone and 710 MBC values; the remainder comprise biofilm, phenol-equivalence and dilution-series measures). Physicochemical data were extracted for 59 studies. Risk-of-bias ratings were 'some concerns' for most extracted studies (88 of 100),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126 retrieved full texts yielded no machine-extractable outcome table meeting our parsing rules. A post-extraction audit removed 10 studies whose extracted tables did not constitute honey-specific primary antibacterial data (propolis, bee venom, isolated antimicrobial peptides, a botanical blend, a nanocomposite formulation, a review article and antibiotic-control-only captures), together with 352 non-honey comparator rows (antibiotics, essential oils, extracts, nanoparticles, combination arms and vehicle controls) in retained studies. Extracted studies were more recent than non-extracted studies (median year 2022 vs. 2020; Mann-Whitney p &lt; 0.001) and overwhelmingly open-access (99% vs. 70% flagged open-access). Mechanistic content, however, was similar between the groups — dilution-related abstracts appeared in 41% of extracted versus 32% of non-extracted studies, peroxide-related in 26% versus 22%,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showed a positive association between concentration and antibacterial response (median Spearman rho = 1.00; Fig. 1A-2C); restricting to the 7 series with four or more ordered concentrations left the direction unchanged (median rho = 1.00). In the one study reporting pH across a full dilution ladder, pH rose monotonically as honey was diluted for all four honeys examined (rho = -1.00; Fig. 1D),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series eligibility applied no outcome-side condition, so the uniform positive direction is a data feature, not a selection artifact, although with few extractable series it should be read as consistent direction rather than a universal law.</w:t>
      </w:r>
    </w:p>
    <w:p>
      <w:pPr>
        <w:jc w:val="center"/>
      </w:pPr>
      <w:r>
        <w:drawing>
          <wp:inline xmlns:a="http://schemas.openxmlformats.org/drawingml/2006/main" xmlns:pic="http://schemas.openxmlformats.org/drawingml/2006/picture">
            <wp:extent cx="5760720" cy="4397236"/>
            <wp:docPr id="1" name="Picture 1"/>
            <wp:cNvGraphicFramePr>
              <a:graphicFrameLocks noChangeAspect="1"/>
            </wp:cNvGraphicFramePr>
            <a:graphic>
              <a:graphicData uri="http://schemas.openxmlformats.org/drawingml/2006/picture">
                <pic:pic>
                  <pic:nvPicPr>
                    <pic:cNvPr id="0" name="fig2_conc_response.png"/>
                    <pic:cNvPicPr/>
                  </pic:nvPicPr>
                  <pic:blipFill>
                    <a:blip r:embed="rId9"/>
                    <a:stretch>
                      <a:fillRect/>
                    </a:stretch>
                  </pic:blipFill>
                  <pic:spPr>
                    <a:xfrm>
                      <a:off x="0" y="0"/>
                      <a:ext cx="5760720" cy="4397236"/>
                    </a:xfrm>
                    <a:prstGeom prst="rect"/>
                  </pic:spPr>
                </pic:pic>
              </a:graphicData>
            </a:graphic>
          </wp:inline>
        </w:drawing>
      </w:r>
    </w:p>
    <w:p>
      <w:r>
        <w:rPr>
          <w:b/>
        </w:rPr>
        <w:t xml:space="preserve">Fig. </w:t>
      </w:r>
      <w:r>
        <w:t>1. Concentration-response series. (A) Inhibition zones versus honey concentration for five organisms (Kumera and others 2025). (B) Manuka UMF15+ zones versus concentration for three organisms (Bukhari and others 2024). (C) Biofilm inhibition versus concentration for two honeys (Alshaybawee and others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13 MIC pairs, 2 MBC pairs); one MIC pair was excluded a priori because the artificial-honey control MIC was zero and a log potency ratio is undefined, leaving 24 pairs for outcome-specific analysis. Analysed on their native outcome scales and aggregated to study level, 5 studies contributed MIC contrasts (median potency ratio 1.81; every contributing study's median exceeded 1; Wilcoxon across study medians, p = 0.062), 1 study contributed MBC contrasts (ratio 1.06, descriptive only), and 2 studies contributed zone contrasts (median paired excess +0.6 mm, positive in both studies; pairs with a zero artificial-honey zone were preserved as differences, never converted to ratios). As an exploratory secondary view, a pair-level Wilcoxon on log potency ratios across the 20 pairs for which a log ratio is defined (the five pairs with a zero control mean are represented above as native-scale differences) — a test that treats dependent pairs as independent — gave p &lt; 0.001; the study-level analysis above is the primary inference (Fig. 2). Artificial honey thus reproduced part, but not all, of natural honey's effect — consistent with a substantial sugar/osmotic contribution while suggesting additional honey-specific effects in most, though not every, study. Because artificial honey is an imperfect osmotic control — few comparators were composition-matched on sugar, pH and water activity —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2" name="Picture 2"/>
            <wp:cNvGraphicFramePr>
              <a:graphicFrameLocks noChangeAspect="1"/>
            </wp:cNvGraphicFramePr>
            <a:graphic>
              <a:graphicData uri="http://schemas.openxmlformats.org/drawingml/2006/picture">
                <pic:pic>
                  <pic:nvPicPr>
                    <pic:cNvPr id="0" name="fig3_natural_vs_artificial.png"/>
                    <pic:cNvPicPr/>
                  </pic:nvPicPr>
                  <pic:blipFill>
                    <a:blip r:embed="rId10"/>
                    <a:stretch>
                      <a:fillRect/>
                    </a:stretch>
                  </pic:blipFill>
                  <pic:spPr>
                    <a:xfrm>
                      <a:off x="0" y="0"/>
                      <a:ext cx="5760720" cy="2682496"/>
                    </a:xfrm>
                    <a:prstGeom prst="rect"/>
                  </pic:spPr>
                </pic:pic>
              </a:graphicData>
            </a:graphic>
          </wp:inline>
        </w:drawing>
      </w:r>
    </w:p>
    <w:p>
      <w:r>
        <w:rPr>
          <w:b/>
        </w:rPr>
        <w:t xml:space="preserve">Fig. </w:t>
      </w:r>
      <w:r>
        <w:t>2.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3),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3" name="Picture 3"/>
            <wp:cNvGraphicFramePr>
              <a:graphicFrameLocks noChangeAspect="1"/>
            </wp:cNvGraphicFramePr>
            <a:graphic>
              <a:graphicData uri="http://schemas.openxmlformats.org/drawingml/2006/picture">
                <pic:pic>
                  <pic:nvPicPr>
                    <pic:cNvPr id="0" name="fig4_chemistry.png"/>
                    <pic:cNvPicPr/>
                  </pic:nvPicPr>
                  <pic:blipFill>
                    <a:blip r:embed="rId11"/>
                    <a:stretch>
                      <a:fillRect/>
                    </a:stretch>
                  </pic:blipFill>
                  <pic:spPr>
                    <a:xfrm>
                      <a:off x="0" y="0"/>
                      <a:ext cx="5760720" cy="4408598"/>
                    </a:xfrm>
                    <a:prstGeom prst="rect"/>
                  </pic:spPr>
                </pic:pic>
              </a:graphicData>
            </a:graphic>
          </wp:inline>
        </w:drawing>
      </w:r>
    </w:p>
    <w:p>
      <w:r>
        <w:rPr>
          <w:b/>
        </w:rPr>
        <w:t xml:space="preserve">Fig. </w:t>
      </w:r>
      <w:r>
        <w:t>3.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4).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4" name="Picture 4"/>
            <wp:cNvGraphicFramePr>
              <a:graphicFrameLocks noChangeAspect="1"/>
            </wp:cNvGraphicFramePr>
            <a:graphic>
              <a:graphicData uri="http://schemas.openxmlformats.org/drawingml/2006/picture">
                <pic:pic>
                  <pic:nvPicPr>
                    <pic:cNvPr id="0" name="fig5_catalase.png"/>
                    <pic:cNvPicPr/>
                  </pic:nvPicPr>
                  <pic:blipFill>
                    <a:blip r:embed="rId12"/>
                    <a:stretch>
                      <a:fillRect/>
                    </a:stretch>
                  </pic:blipFill>
                  <pic:spPr>
                    <a:xfrm>
                      <a:off x="0" y="0"/>
                      <a:ext cx="5760720" cy="4432690"/>
                    </a:xfrm>
                    <a:prstGeom prst="rect"/>
                  </pic:spPr>
                </pic:pic>
              </a:graphicData>
            </a:graphic>
          </wp:inline>
        </w:drawing>
      </w:r>
    </w:p>
    <w:p>
      <w:r>
        <w:rPr>
          <w:b/>
        </w:rPr>
        <w:t xml:space="preserve">Fig. </w:t>
      </w:r>
      <w:r>
        <w:t>4. Paired antibacterial activity before and after catalase treatment (13 pairs, 2 studies (Hussain and others 2019; Mohd Hilmi and others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Median MIC differed markedly across organisms (Fig. 5); because organism identity is confounded with study, organism medians are reported descriptively rather than with a pooled test that would treat within-study replicates as independent. Organism medians were computed within each reported concentration basis (Table 1); bases are not commensurate and no pooled cross-basis ranking is reported. On the dominant unspecified-percentage basis, Gram-positive organisms tended to be inhibited at lower honey concentrations than Gram-negative organisms. Manuka-type honeys had a lower median MIC than other honeys (15% vs. 19%; nominal Mann-Whitney p = 0.001, which treats rows as independent). Within the 13 studies testing both types on the same reported basis, manuka MICs were a median 5.0 percentage points lower (7 studies lower, 6 equal, none higher; Wilcoxon across study medians, p = 0.016).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5" name="Picture 5"/>
            <wp:cNvGraphicFramePr>
              <a:graphicFrameLocks noChangeAspect="1"/>
            </wp:cNvGraphicFramePr>
            <a:graphic>
              <a:graphicData uri="http://schemas.openxmlformats.org/drawingml/2006/picture">
                <pic:pic>
                  <pic:nvPicPr>
                    <pic:cNvPr id="0" name="fig6_organisms.png"/>
                    <pic:cNvPicPr/>
                  </pic:nvPicPr>
                  <pic:blipFill>
                    <a:blip r:embed="rId13"/>
                    <a:stretch>
                      <a:fillRect/>
                    </a:stretch>
                  </pic:blipFill>
                  <pic:spPr>
                    <a:xfrm>
                      <a:off x="0" y="0"/>
                      <a:ext cx="5760720" cy="3043399"/>
                    </a:xfrm>
                    <a:prstGeom prst="rect"/>
                  </pic:spPr>
                </pic:pic>
              </a:graphicData>
            </a:graphic>
          </wp:inline>
        </w:drawing>
      </w:r>
    </w:p>
    <w:p>
      <w:r>
        <w:rPr>
          <w:b/>
        </w:rPr>
        <w:t xml:space="preserve">Fig. </w:t>
      </w:r>
      <w:r>
        <w:t>5. MIC distributions by organism group (unspecified-basis percentage rows only, log scale). Bases are not commensurate; see Table 1 for per-basis medians.</w:t>
      </w:r>
    </w:p>
    <w:p/>
    <w:p>
      <w:r>
        <w:rPr>
          <w:b/>
        </w:rPr>
        <w:t xml:space="preserve">Table 1. </w:t>
      </w:r>
      <w:r>
        <w:t>Median MIC (% honey) by organism and reported concentration basis.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Organism</w:t>
            </w:r>
          </w:p>
        </w:tc>
        <w:tc>
          <w:tcPr>
            <w:tcW w:type="dxa" w:w="1728"/>
            <w:tcBorders>
              <w:top w:val="none" w:sz="0"/>
              <w:left w:val="none" w:sz="0"/>
              <w:right w:val="none" w:sz="0"/>
              <w:bottom w:val="single" w:sz="8" w:color="000000"/>
            </w:tcBorders>
          </w:tcPr>
          <w:p>
            <w:r>
              <w:rPr>
                <w:b/>
              </w:rPr>
              <w:t>% basis unspecified</w:t>
            </w:r>
          </w:p>
        </w:tc>
        <w:tc>
          <w:tcPr>
            <w:tcW w:type="dxa" w:w="1728"/>
            <w:tcBorders>
              <w:top w:val="none" w:sz="0"/>
              <w:left w:val="none" w:sz="0"/>
              <w:right w:val="none" w:sz="0"/>
              <w:bottom w:val="single" w:sz="8" w:color="000000"/>
            </w:tcBorders>
          </w:tcPr>
          <w:p>
            <w:r>
              <w:rPr>
                <w:b/>
              </w:rPr>
              <w:t>% v/v</w:t>
            </w:r>
          </w:p>
        </w:tc>
        <w:tc>
          <w:tcPr>
            <w:tcW w:type="dxa" w:w="1728"/>
            <w:tcBorders>
              <w:top w:val="none" w:sz="0"/>
              <w:left w:val="none" w:sz="0"/>
              <w:right w:val="none" w:sz="0"/>
              <w:bottom w:val="single" w:sz="8" w:color="000000"/>
            </w:tcBorders>
          </w:tcPr>
          <w:p>
            <w:r>
              <w:rPr>
                <w:b/>
              </w:rPr>
              <w:t>% w/v</w:t>
            </w:r>
          </w:p>
        </w:tc>
        <w:tc>
          <w:tcPr>
            <w:tcW w:type="dxa" w:w="1728"/>
            <w:tcBorders>
              <w:top w:val="none" w:sz="0"/>
              <w:left w:val="none" w:sz="0"/>
              <w:right w:val="none" w:sz="0"/>
              <w:bottom w:val="single" w:sz="8" w:color="000000"/>
            </w:tcBorders>
          </w:tcPr>
          <w:p>
            <w:r>
              <w:rPr>
                <w:b/>
              </w:rPr>
              <w:t>% w/w</w:t>
            </w:r>
          </w:p>
        </w:tc>
      </w:tr>
      <w:tr>
        <w:tc>
          <w:tcPr>
            <w:tcW w:type="dxa" w:w="1728"/>
          </w:tcPr>
          <w:p>
            <w:r>
              <w:t>S. aureus</w:t>
            </w:r>
          </w:p>
        </w:tc>
        <w:tc>
          <w:tcPr>
            <w:tcW w:type="dxa" w:w="1728"/>
          </w:tcPr>
          <w:p>
            <w:r>
              <w:t>19.0 [10.0-25.0]; 13/80/107</w:t>
            </w:r>
          </w:p>
        </w:tc>
        <w:tc>
          <w:tcPr>
            <w:tcW w:type="dxa" w:w="1728"/>
          </w:tcPr>
          <w:p>
            <w:r>
              <w:t>25.0 [4.0-25.0]; 5/17/37</w:t>
            </w:r>
          </w:p>
        </w:tc>
        <w:tc>
          <w:tcPr>
            <w:tcW w:type="dxa" w:w="1728"/>
          </w:tcPr>
          <w:p>
            <w:r>
              <w:t>12.4 [6.8-17.8]; 10/71/108</w:t>
            </w:r>
          </w:p>
        </w:tc>
        <w:tc>
          <w:tcPr>
            <w:tcW w:type="dxa" w:w="1728"/>
          </w:tcPr>
          <w:p>
            <w:r>
              <w:t>7.2 [6.5-9.3]; 1/20/20</w:t>
            </w:r>
          </w:p>
        </w:tc>
      </w:tr>
      <w:tr>
        <w:tc>
          <w:tcPr>
            <w:tcW w:type="dxa" w:w="1728"/>
          </w:tcPr>
          <w:p>
            <w:r>
              <w:t>MRSA</w:t>
            </w:r>
          </w:p>
        </w:tc>
        <w:tc>
          <w:tcPr>
            <w:tcW w:type="dxa" w:w="1728"/>
          </w:tcPr>
          <w:p>
            <w:r>
              <w:t>12.5 [6.2-25.0]; 5/25/107</w:t>
            </w:r>
          </w:p>
        </w:tc>
        <w:tc>
          <w:tcPr>
            <w:tcW w:type="dxa" w:w="1728"/>
          </w:tcPr>
          <w:p>
            <w:r>
              <w:t>6.2 [6.2-20.0]; 3/13/13</w:t>
            </w:r>
          </w:p>
        </w:tc>
        <w:tc>
          <w:tcPr>
            <w:tcW w:type="dxa" w:w="1728"/>
          </w:tcPr>
          <w:p>
            <w:r>
              <w:t>10.0 [10.0-13.5]; 3/21/27</w:t>
            </w:r>
          </w:p>
        </w:tc>
        <w:tc>
          <w:tcPr>
            <w:tcW w:type="dxa" w:w="1728"/>
          </w:tcPr>
          <w:p>
            <w:r>
              <w:t>-</w:t>
            </w:r>
          </w:p>
        </w:tc>
      </w:tr>
      <w:tr>
        <w:tc>
          <w:tcPr>
            <w:tcW w:type="dxa" w:w="1728"/>
          </w:tcPr>
          <w:p>
            <w:r>
              <w:t>S. epidermidis</w:t>
            </w:r>
          </w:p>
        </w:tc>
        <w:tc>
          <w:tcPr>
            <w:tcW w:type="dxa" w:w="1728"/>
          </w:tcPr>
          <w:p>
            <w:r>
              <w:t>12.5 [6.2-12.5]; 3/23/30</w:t>
            </w:r>
          </w:p>
        </w:tc>
        <w:tc>
          <w:tcPr>
            <w:tcW w:type="dxa" w:w="1728"/>
          </w:tcPr>
          <w:p>
            <w:r>
              <w:t>-</w:t>
            </w:r>
          </w:p>
        </w:tc>
        <w:tc>
          <w:tcPr>
            <w:tcW w:type="dxa" w:w="1728"/>
          </w:tcPr>
          <w:p>
            <w:r>
              <w:t>-</w:t>
            </w:r>
          </w:p>
        </w:tc>
        <w:tc>
          <w:tcPr>
            <w:tcW w:type="dxa" w:w="1728"/>
          </w:tcPr>
          <w:p>
            <w:r>
              <w:t>-</w:t>
            </w:r>
          </w:p>
        </w:tc>
      </w:tr>
      <w:tr>
        <w:tc>
          <w:tcPr>
            <w:tcW w:type="dxa" w:w="1728"/>
          </w:tcPr>
          <w:p>
            <w:r>
              <w:t>E. coli</w:t>
            </w:r>
          </w:p>
        </w:tc>
        <w:tc>
          <w:tcPr>
            <w:tcW w:type="dxa" w:w="1728"/>
          </w:tcPr>
          <w:p>
            <w:r>
              <w:t>25.0 [16.0-40.0]; 14/162/291</w:t>
            </w:r>
          </w:p>
        </w:tc>
        <w:tc>
          <w:tcPr>
            <w:tcW w:type="dxa" w:w="1728"/>
          </w:tcPr>
          <w:p>
            <w:r>
              <w:t>8.0 [4.0-15.0]; 6/20/31</w:t>
            </w:r>
          </w:p>
        </w:tc>
        <w:tc>
          <w:tcPr>
            <w:tcW w:type="dxa" w:w="1728"/>
          </w:tcPr>
          <w:p>
            <w:r>
              <w:t>10.0 [10.0-18.0]; 6/75/83</w:t>
            </w:r>
          </w:p>
        </w:tc>
        <w:tc>
          <w:tcPr>
            <w:tcW w:type="dxa" w:w="1728"/>
          </w:tcPr>
          <w:p>
            <w:r>
              <w:t>-</w:t>
            </w:r>
          </w:p>
        </w:tc>
      </w:tr>
      <w:tr>
        <w:tc>
          <w:tcPr>
            <w:tcW w:type="dxa" w:w="1728"/>
          </w:tcPr>
          <w:p>
            <w:r>
              <w:t>P. aeruginosa</w:t>
            </w:r>
          </w:p>
        </w:tc>
        <w:tc>
          <w:tcPr>
            <w:tcW w:type="dxa" w:w="1728"/>
          </w:tcPr>
          <w:p>
            <w:r>
              <w:t>25.0 [18.2-40.0]; 12/100/179</w:t>
            </w:r>
          </w:p>
        </w:tc>
        <w:tc>
          <w:tcPr>
            <w:tcW w:type="dxa" w:w="1728"/>
          </w:tcPr>
          <w:p>
            <w:r>
              <w:t>10.2 [4.2-43.8]; 3/4/10</w:t>
            </w:r>
          </w:p>
        </w:tc>
        <w:tc>
          <w:tcPr>
            <w:tcW w:type="dxa" w:w="1728"/>
          </w:tcPr>
          <w:p>
            <w:r>
              <w:t>25.0 [18.0-38.0]; 11/80/97</w:t>
            </w:r>
          </w:p>
        </w:tc>
        <w:tc>
          <w:tcPr>
            <w:tcW w:type="dxa" w:w="1728"/>
          </w:tcPr>
          <w:p>
            <w:r>
              <w:t>15.0 [15.0-20.0]; 1/33/33</w:t>
            </w:r>
          </w:p>
        </w:tc>
      </w:tr>
      <w:tr>
        <w:tc>
          <w:tcPr>
            <w:tcW w:type="dxa" w:w="1728"/>
          </w:tcPr>
          <w:p>
            <w:r>
              <w:t>Salmonella</w:t>
            </w:r>
          </w:p>
        </w:tc>
        <w:tc>
          <w:tcPr>
            <w:tcW w:type="dxa" w:w="1728"/>
          </w:tcPr>
          <w:p>
            <w:r>
              <w:t>22.9 [13.1-25.0]; 8/47/66</w:t>
            </w:r>
          </w:p>
        </w:tc>
        <w:tc>
          <w:tcPr>
            <w:tcW w:type="dxa" w:w="1728"/>
          </w:tcPr>
          <w:p>
            <w:r>
              <w:t>12.5 [6.2-25.0]; 5/23/233</w:t>
            </w:r>
          </w:p>
        </w:tc>
        <w:tc>
          <w:tcPr>
            <w:tcW w:type="dxa" w:w="1728"/>
          </w:tcPr>
          <w:p>
            <w:r>
              <w:t>-</w:t>
            </w:r>
          </w:p>
        </w:tc>
        <w:tc>
          <w:tcPr>
            <w:tcW w:type="dxa" w:w="1728"/>
          </w:tcPr>
          <w:p>
            <w:r>
              <w:t>-</w:t>
            </w:r>
          </w:p>
        </w:tc>
      </w:tr>
      <w:tr>
        <w:tc>
          <w:tcPr>
            <w:tcW w:type="dxa" w:w="1728"/>
          </w:tcPr>
          <w:p>
            <w:r>
              <w:t>L. monocytogenes</w:t>
            </w:r>
          </w:p>
        </w:tc>
        <w:tc>
          <w:tcPr>
            <w:tcW w:type="dxa" w:w="1728"/>
          </w:tcPr>
          <w:p>
            <w:r>
              <w:t>27.5 [21.2-46.2]; 3/14/18</w:t>
            </w:r>
          </w:p>
        </w:tc>
        <w:tc>
          <w:tcPr>
            <w:tcW w:type="dxa" w:w="1728"/>
          </w:tcPr>
          <w:p>
            <w:r>
              <w:t>2.0 [1.0-3.0]; 2/4/11</w:t>
            </w:r>
          </w:p>
        </w:tc>
        <w:tc>
          <w:tcPr>
            <w:tcW w:type="dxa" w:w="1728"/>
          </w:tcPr>
          <w:p>
            <w:r>
              <w:t>-</w:t>
            </w:r>
          </w:p>
        </w:tc>
        <w:tc>
          <w:tcPr>
            <w:tcW w:type="dxa" w:w="1728"/>
          </w:tcPr>
          <w:p>
            <w:r>
              <w:t>-</w:t>
            </w:r>
          </w:p>
        </w:tc>
      </w:tr>
    </w:tbl>
    <w:p>
      <w:r>
        <w:rPr>
          <w:sz w:val="18"/>
        </w:rPr>
        <w:t>Note: MIC, minimum inhibitory concentration; MRSA, methicillin-resistant S. aureus. Entries are median [IQR]; n studies/n honey samples/n observations. Bases are not commensurate and are never pooled; cells with fewer than five observations are suppressed.</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14% on the percent weight/volume basis (n = 484), 12% on the percent volume/volume basis (n = 633) and 20% on the percent weight/weight basis (n = 86),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Supplementary Table S12 summarizes the paired mechanistic contrasts.</w:t>
      </w:r>
    </w:p>
    <w:p>
      <w:pPr>
        <w:pStyle w:val="Heading2"/>
      </w:pPr>
      <w:r>
        <w:rPr>
          <w:rFonts w:ascii="Times New Roman" w:hAnsi="Times New Roman"/>
          <w:color w:val="000000"/>
        </w:rPr>
        <w:t>3.9.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and others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our full-text audit found no study that measured activity in an actual food matrix, let alone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100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4.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is absent in the extracted corpus.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Tatsuki Onishi: Conceptualization, Methodology, Software, Formal analysis, Data curation, Validation, Investigation, Writing — original draft, Writing — review &amp; editing, Supervision, Project administration.</w:t>
      </w:r>
    </w:p>
    <w:p>
      <w:pPr>
        <w:pStyle w:val="Heading2"/>
      </w:pPr>
      <w:r>
        <w:rPr>
          <w:rFonts w:ascii="Times New Roman" w:hAnsi="Times New Roman"/>
          <w:color w:val="000000"/>
        </w:rPr>
        <w:t>Declaration of competing interest</w:t>
      </w:r>
    </w:p>
    <w:p>
      <w:r>
        <w:t>The author declares that he has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 used a large language-model coding assistant to develop the reproducible search, extraction and analysis code and to assist with drafting. The author reviewed and edited all content and takes full responsibility for the integrity of the publication.</w:t>
      </w:r>
    </w:p>
    <w:p>
      <w:pPr>
        <w:pStyle w:val="Heading1"/>
      </w:pPr>
      <w:r>
        <w:rPr>
          <w:rFonts w:ascii="Times New Roman" w:hAnsi="Times New Roman"/>
          <w:color w:val="000000"/>
        </w:rPr>
        <w:t>References</w:t>
      </w:r>
    </w:p>
    <w:p>
      <w:pPr>
        <w:pStyle w:val="ListParagraph"/>
      </w:pPr>
      <w:r>
        <w:t>Aljadi, R.A. (2025). The Efficacy of Medical-Grade Honey as an Antimicrobial Agent Against Antibiotic-Resistant Bacteria: A Systematic Review and Meta-Analysis. International Journal of Scientific Research and Innovative Studies, 4(3), 32-37. https://doi.org/10.63883/ijsrisjournal.v4i3.482</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A current perspective on hydrogen peroxide production in honey. A review. Food Chemistry 2021;335:127395. https://doi.org/10.1016/j.foodchem.2020.127229</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C, Bravo-Balaguer R, Tejera E, Machado A. Antimicrobial activity of stingless bee honey (Tribe: Meliponini) on clinical and foodborne pathogens: a systematic review and meta-analysis. Food Frontiers 2024;5:964-93. https://doi.org/10.1002/fft2.386</w:t>
      </w:r>
    </w:p>
    <w:p>
      <w:pPr>
        <w:pStyle w:val="ListParagraph"/>
      </w:pPr>
      <w:r>
        <w:t>Eryilmaz, H.S., Gunal-Koroglu, D., Ozkan, G., Oztekin, S., Capanoglu, E. (2026). Honey-associated microorganisms and antimicrobial activity: Probiotic, synbiotic, and postbiotic properties. International Journal of Food Microbiology, 452, 111686. https://doi.org/10.1016/j.ijfoodmicro.2026.111686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The antibacterial activity of honey. 1. The nature of the antibacterial activity. Bee World 1992;73:5-28. https://doi.org/10.1080/0005772X.1992.11099109</w:t>
      </w:r>
    </w:p>
    <w:p>
      <w:pPr>
        <w:pStyle w:val="ListParagraph"/>
      </w:pPr>
      <w:r>
        <w:t>Nolan, V.C., Harrison, J., Wright, J.E.E., Cox, J.A.G. (2020). Clinical Significance of Manuka and Medical-Grade Honey for Antibiotic-Resistant Infections: A Systematic Review. Antibiotics, 9(11), 766. https://doi.org/10.3390/antibiotics9110766</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100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