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[Author One] a, [Author Two] b, [Corresponding Author] a,*</w:t>
      </w:r>
    </w:p>
    <w:p>
      <w:pPr>
        <w:jc w:val="center"/>
      </w:pPr>
      <w:r>
        <w:rPr>
          <w:b w:val="0"/>
          <w:sz w:val="20"/>
        </w:rPr>
        <w:t>a [Affiliation 1]; b [Affiliation 2]</w:t>
      </w:r>
    </w:p>
    <w:p>
      <w:pPr>
        <w:jc w:val="center"/>
      </w:pPr>
      <w:r>
        <w:rPr>
          <w:b w:val="0"/>
          <w:sz w:val="20"/>
        </w:rPr>
        <w:t>* Corresponding author. E-mail address: [email]</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102 open-access full texts (5,174 observations), predominantly against foodborne bacteria. All 10 extractable concentration series increased monotonically with honey concentration (median Spearman rho = 1.00), and the one complete pH ladder rose on dilution (rho = -1.00). Natural honeys exceeded sugar-equivalent controls in 20 of 25 matched pairs (median potency ratio 1.45, p = 0.001). Catalase-treated honey retained a median 92% of activity (13 pairs, 2 studies). Physicochemical parameters predicted antibacterial outcomes within individual studies but not across them: leave-one-study-out cross-validated R2 was negative for chemistry- and label-based models. Only a small minority of studies validated activity in an actual food matrix, and no extracted dataset reported a complete hydrogen peroxide dilution ladder with matched antibacterial endpoints. The evidence supports a dilution-dependent balance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that resists microbial spoilage for decades and a concentrated antimicrobial system whose intrinsic factors — water activity, acidity, enzymatic hydrogen peroxide production and plant-derived non-peroxide constituents — have been characterized for nearly a century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 mechanistic reviews have focused on the chemistry of H2O2 production (); and recent meta-analyses have pooled honey potency against pathogens without modelling the concentration axis ().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it contained at least four ordered concentrations with a monotone-reported endpoint. Natural versus artificial honey was compared within study, organism, outcome and concentration strata; to make inhibition-zone and MIC/MBC contrasts directionally comparable, effects were expressed as a potency ratio (natural/artificial for zones; artificial/natural for MIC/MBC, so that values above 1 always indicate greater natural-honey potency) and tested with a Wilcoxon signed-rank test on log ratios.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Organism heterogeneity was assessed with Kruskal-Wallis tests.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(Fig. 1). Open-access full texts were obtained for 234 records, and quantitative data were extracted from 102 studies, yielding 5,174 harmonized observations (2,572 MIC, 1,433 inhibition-zone and 710 MBC values; the remainder comprise biofilm, phenol-equivalence and dilution-series measures). Physicochemical data were extracted for 59 studies. Risk-of-bias ratings were 'some concerns' for most extracted studies (90 of 102),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132 retrieved full texts yielded no machine-extractable outcome table meeting our parsing rules. Extracted studies were more recent than non-extracted studies (median year 2022 vs. 2020; Mann-Whitney p &lt; 0.001) and overwhelmingly open-access (99% vs. 70% flagged open-access). Mechanistic content, however, was similar between the groups — dilution-related abstracts appeared in 40% of extracted versus 31% of non-extracted studies, peroxide-related in 25% versus 22%,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increased monotonically with honey concentration (median Spearman rho = 1.00; Fig. 2A-2C).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15 MIC/MBC pairs). After normalizing for direction, natural honey was more potent in 20 of 25 pairs (median potency ratio 1.45; Wilcoxon on log ratios, p = 0.001; Fig. 3). In zone units the median paired excess was +0.6 mm; in MIC units the median natural:artificial ratio was 0.65. Artificial honey thus reproduced part, but not all, of natural honey's effect — consistent with a substantial sugar/osmotic contribution while suggesting additional honey-specific effects in most, though not every, study. Because artificial honey is an imperfect osmotic control,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 xml:space="preserve">MIC distributions differed strongly across organisms (Kruskal-Wallis H = 200, p &lt; 0.001; Fig. 6). Gram-positive organisms tended to be inhibited at lower honey concentrations (median MIC: </w:t>
      </w:r>
      <w:r>
        <w:rPr>
          <w:i/>
        </w:rPr>
        <w:t>S. epidermidis</w:t>
      </w:r>
      <w:r>
        <w:t xml:space="preserve"> 12.5%, </w:t>
      </w:r>
      <w:r>
        <w:rPr>
          <w:i/>
        </w:rPr>
        <w:t>S. aureus</w:t>
      </w:r>
      <w:r>
        <w:t xml:space="preserve"> 12.5%, MRSA 12.5%) than Gram-negative organisms (</w:t>
      </w:r>
      <w:r>
        <w:rPr>
          <w:i/>
        </w:rPr>
        <w:t>E. coli</w:t>
      </w:r>
      <w:r>
        <w:t xml:space="preserve"> 20.0%, </w:t>
      </w:r>
      <w:r>
        <w:rPr>
          <w:i/>
        </w:rPr>
        <w:t>P. aeruginosa</w:t>
      </w:r>
      <w:r>
        <w:t xml:space="preserve"> 21.0%). Manuka-type honeys had a lower median MIC than other honeys (15% vs. 19%; Mann-Whitney p = 0.001), and the contrast remained significant under leave-one-study-out resampling (non-significant in 0% of iterations).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(percentage-unit studies, log scale).</w:t>
      </w:r>
    </w:p>
    <w:p/>
    <w:p>
      <w:r>
        <w:rPr>
          <w:b/>
        </w:rPr>
        <w:t xml:space="preserve">Table 1. </w:t>
      </w:r>
      <w:r>
        <w:t>Median MIC (% honey) by organism group, percentage-unit studies.</w:t>
      </w:r>
    </w:p>
    <w:tbl>
      <w:tblPr>
        <w:tblStyle w:val="LightGrid-Accent1"/>
        <w:tblW w:type="auto" w:w="0"/>
        <w:tblLook w:firstColumn="1" w:firstRow="1" w:lastColumn="0" w:lastRow="0" w:noHBand="0" w:noVBand="1" w:val="04A0"/>
      </w:tblPr>
      <w:tblGrid>
        <w:gridCol w:w="4320"/>
        <w:gridCol w:w="4320"/>
      </w:tblGrid>
      <w:tr>
        <w:tc>
          <w:tcPr>
            <w:tcW w:type="dxa" w:w="4320"/>
          </w:tcPr>
          <w:p>
            <w:r>
              <w:t>Organism group</w:t>
            </w:r>
          </w:p>
        </w:tc>
        <w:tc>
          <w:tcPr>
            <w:tcW w:type="dxa" w:w="4320"/>
          </w:tcPr>
          <w:p>
            <w:r>
              <w:t>Median MIC (%)</w:t>
            </w:r>
          </w:p>
        </w:tc>
      </w:tr>
      <w:tr>
        <w:tc>
          <w:tcPr>
            <w:tcW w:type="dxa" w:w="4320"/>
          </w:tcPr>
          <w:p>
            <w:r>
              <w:t>Burkholderia</w:t>
            </w:r>
          </w:p>
        </w:tc>
        <w:tc>
          <w:tcPr>
            <w:tcW w:type="dxa" w:w="4320"/>
          </w:tcPr>
          <w:p>
            <w:r>
              <w:t>4.0</w:t>
            </w:r>
          </w:p>
        </w:tc>
      </w:tr>
      <w:tr>
        <w:tc>
          <w:tcPr>
            <w:tcW w:type="dxa" w:w="4320"/>
          </w:tcPr>
          <w:p>
            <w:r>
              <w:t>L. monocytogenes</w:t>
            </w:r>
          </w:p>
        </w:tc>
        <w:tc>
          <w:tcPr>
            <w:tcW w:type="dxa" w:w="4320"/>
          </w:tcPr>
          <w:p>
            <w:r>
              <w:t>4.0</w:t>
            </w:r>
          </w:p>
        </w:tc>
      </w:tr>
      <w:tr>
        <w:tc>
          <w:tcPr>
            <w:tcW w:type="dxa" w:w="4320"/>
          </w:tcPr>
          <w:p>
            <w:r>
              <w:t>MSSA</w:t>
            </w:r>
          </w:p>
        </w:tc>
        <w:tc>
          <w:tcPr>
            <w:tcW w:type="dxa" w:w="4320"/>
          </w:tcPr>
          <w:p>
            <w:r>
              <w:t>10.0</w:t>
            </w:r>
          </w:p>
        </w:tc>
      </w:tr>
      <w:tr>
        <w:tc>
          <w:tcPr>
            <w:tcW w:type="dxa" w:w="4320"/>
          </w:tcPr>
          <w:p>
            <w:r>
              <w:t>S. mutans</w:t>
            </w:r>
          </w:p>
        </w:tc>
        <w:tc>
          <w:tcPr>
            <w:tcW w:type="dxa" w:w="4320"/>
          </w:tcPr>
          <w:p>
            <w:r>
              <w:t>10.0</w:t>
            </w:r>
          </w:p>
        </w:tc>
      </w:tr>
      <w:tr>
        <w:tc>
          <w:tcPr>
            <w:tcW w:type="dxa" w:w="4320"/>
          </w:tcPr>
          <w:p>
            <w:r>
              <w:t>Mycobacterium</w:t>
            </w:r>
          </w:p>
        </w:tc>
        <w:tc>
          <w:tcPr>
            <w:tcW w:type="dxa" w:w="4320"/>
          </w:tcPr>
          <w:p>
            <w:r>
              <w:t>11.25</w:t>
            </w:r>
          </w:p>
        </w:tc>
      </w:tr>
      <w:tr>
        <w:tc>
          <w:tcPr>
            <w:tcW w:type="dxa" w:w="4320"/>
          </w:tcPr>
          <w:p>
            <w:r>
              <w:t>MRSA</w:t>
            </w:r>
          </w:p>
        </w:tc>
        <w:tc>
          <w:tcPr>
            <w:tcW w:type="dxa" w:w="4320"/>
          </w:tcPr>
          <w:p>
            <w:r>
              <w:t>12.5</w:t>
            </w:r>
          </w:p>
        </w:tc>
      </w:tr>
      <w:tr>
        <w:tc>
          <w:tcPr>
            <w:tcW w:type="dxa" w:w="4320"/>
          </w:tcPr>
          <w:p>
            <w:r>
              <w:t>S. aureus</w:t>
            </w:r>
          </w:p>
        </w:tc>
        <w:tc>
          <w:tcPr>
            <w:tcW w:type="dxa" w:w="4320"/>
          </w:tcPr>
          <w:p>
            <w:r>
              <w:t>12.5</w:t>
            </w:r>
          </w:p>
        </w:tc>
      </w:tr>
      <w:tr>
        <w:tc>
          <w:tcPr>
            <w:tcW w:type="dxa" w:w="4320"/>
          </w:tcPr>
          <w:p>
            <w:r>
              <w:t>S. epidermidis</w:t>
            </w:r>
          </w:p>
        </w:tc>
        <w:tc>
          <w:tcPr>
            <w:tcW w:type="dxa" w:w="4320"/>
          </w:tcPr>
          <w:p>
            <w:r>
              <w:t>12.5</w:t>
            </w:r>
          </w:p>
        </w:tc>
      </w:tr>
      <w:tr>
        <w:tc>
          <w:tcPr>
            <w:tcW w:type="dxa" w:w="4320"/>
          </w:tcPr>
          <w:p>
            <w:r>
              <w:t>Salmonella</w:t>
            </w:r>
          </w:p>
        </w:tc>
        <w:tc>
          <w:tcPr>
            <w:tcW w:type="dxa" w:w="4320"/>
          </w:tcPr>
          <w:p>
            <w:r>
              <w:t>12.5</w:t>
            </w:r>
          </w:p>
        </w:tc>
      </w:tr>
      <w:tr>
        <w:tc>
          <w:tcPr>
            <w:tcW w:type="dxa" w:w="4320"/>
          </w:tcPr>
          <w:p>
            <w:r>
              <w:t>B. cereus/Bacillus</w:t>
            </w:r>
          </w:p>
        </w:tc>
        <w:tc>
          <w:tcPr>
            <w:tcW w:type="dxa" w:w="4320"/>
          </w:tcPr>
          <w:p>
            <w:r>
              <w:t>16.5</w:t>
            </w:r>
          </w:p>
        </w:tc>
      </w:tr>
      <w:tr>
        <w:tc>
          <w:tcPr>
            <w:tcW w:type="dxa" w:w="4320"/>
          </w:tcPr>
          <w:p>
            <w:r>
              <w:t>H. pylori</w:t>
            </w:r>
          </w:p>
        </w:tc>
        <w:tc>
          <w:tcPr>
            <w:tcW w:type="dxa" w:w="4320"/>
          </w:tcPr>
          <w:p>
            <w:r>
              <w:t>16.67</w:t>
            </w:r>
          </w:p>
        </w:tc>
      </w:tr>
      <w:tr>
        <w:tc>
          <w:tcPr>
            <w:tcW w:type="dxa" w:w="4320"/>
          </w:tcPr>
          <w:p>
            <w:r>
              <w:t>E. coli</w:t>
            </w:r>
          </w:p>
        </w:tc>
        <w:tc>
          <w:tcPr>
            <w:tcW w:type="dxa" w:w="4320"/>
          </w:tcPr>
          <w:p>
            <w:r>
              <w:t>20.0</w:t>
            </w:r>
          </w:p>
        </w:tc>
      </w:tr>
      <w:tr>
        <w:tc>
          <w:tcPr>
            <w:tcW w:type="dxa" w:w="4320"/>
          </w:tcPr>
          <w:p>
            <w:r>
              <w:t>K. pneumoniae</w:t>
            </w:r>
          </w:p>
        </w:tc>
        <w:tc>
          <w:tcPr>
            <w:tcW w:type="dxa" w:w="4320"/>
          </w:tcPr>
          <w:p>
            <w:r>
              <w:t>20.0</w:t>
            </w:r>
          </w:p>
        </w:tc>
      </w:tr>
      <w:tr>
        <w:tc>
          <w:tcPr>
            <w:tcW w:type="dxa" w:w="4320"/>
          </w:tcPr>
          <w:p>
            <w:r>
              <w:t>other</w:t>
            </w:r>
          </w:p>
        </w:tc>
        <w:tc>
          <w:tcPr>
            <w:tcW w:type="dxa" w:w="4320"/>
          </w:tcPr>
          <w:p>
            <w:r>
              <w:t>20.0</w:t>
            </w:r>
          </w:p>
        </w:tc>
      </w:tr>
      <w:tr>
        <w:tc>
          <w:tcPr>
            <w:tcW w:type="dxa" w:w="4320"/>
          </w:tcPr>
          <w:p>
            <w:r>
              <w:t>P. aeruginosa</w:t>
            </w:r>
          </w:p>
        </w:tc>
        <w:tc>
          <w:tcPr>
            <w:tcW w:type="dxa" w:w="4320"/>
          </w:tcPr>
          <w:p>
            <w:r>
              <w:t>21.0</w:t>
            </w:r>
          </w:p>
        </w:tc>
      </w:tr>
    </w:tbl>
    <w:p>
      <w:r>
        <w:rPr>
          <w:sz w:val="18"/>
        </w:rPr>
        <w:t>Note: MIC, minimum inhibitory concentration; MRSA/MSSA, methicillin-resistant/susceptible S. aureus. Values are medians of extracted MIC rows restricted to percentage-unit bases.</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15% on the percent weight/volume basis (n = 369) and 12% on the percent volume/volume basis (n = 481),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Contrast</w:t>
            </w:r>
          </w:p>
        </w:tc>
        <w:tc>
          <w:tcPr>
            <w:tcW w:type="dxa" w:w="1728"/>
          </w:tcPr>
          <w:p>
            <w:r>
              <w:t>n pairs/obs</w:t>
            </w:r>
          </w:p>
        </w:tc>
        <w:tc>
          <w:tcPr>
            <w:tcW w:type="dxa" w:w="1728"/>
          </w:tcPr>
          <w:p>
            <w:r>
              <w:t>n studies</w:t>
            </w:r>
          </w:p>
        </w:tc>
        <w:tc>
          <w:tcPr>
            <w:tcW w:type="dxa" w:w="1728"/>
          </w:tcPr>
          <w:p>
            <w:r>
              <w:t>Effect</w:t>
            </w:r>
          </w:p>
        </w:tc>
        <w:tc>
          <w:tcPr>
            <w:tcW w:type="dxa" w:w="1728"/>
          </w:tcPr>
          <w:p>
            <w:r>
              <w:t>p value</w:t>
            </w:r>
          </w:p>
        </w:tc>
      </w:tr>
      <w:tr>
        <w:tc>
          <w:tcPr>
            <w:tcW w:type="dxa" w:w="1728"/>
          </w:tcPr>
          <w:p>
            <w:r>
              <w:t>Natural vs artificial honey (potency ratio)</w:t>
            </w:r>
          </w:p>
        </w:tc>
        <w:tc>
          <w:tcPr>
            <w:tcW w:type="dxa" w:w="1728"/>
          </w:tcPr>
          <w:p>
            <w:r>
              <w:t>25</w:t>
            </w:r>
          </w:p>
        </w:tc>
        <w:tc>
          <w:tcPr>
            <w:tcW w:type="dxa" w:w="1728"/>
          </w:tcPr>
          <w:p>
            <w:r>
              <w:t>7</w:t>
            </w:r>
          </w:p>
        </w:tc>
        <w:tc>
          <w:tcPr>
            <w:tcW w:type="dxa" w:w="1728"/>
          </w:tcPr>
          <w:p>
            <w:r>
              <w:t>20/25 pairs &gt; 1; median 1.45</w:t>
            </w:r>
          </w:p>
        </w:tc>
        <w:tc>
          <w:tcPr>
            <w:tcW w:type="dxa" w:w="1728"/>
          </w:tcPr>
          <w:p>
            <w:r>
              <w:t>0.001</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w:t>
            </w:r>
          </w:p>
        </w:tc>
        <w:tc>
          <w:tcPr>
            <w:tcW w:type="dxa" w:w="1728"/>
          </w:tcPr>
          <w:p>
            <w:r>
              <w:t>0.002</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monotonically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only a small minority of studies measured activity in an actual food matrix, and even fewer did so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102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remains rare.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[Author One]: Conceptualization, Methodology, Software, Formal analysis, Data curation, Writing — original draft. [Author Two]: Validation, Investigation, Writing — review &amp; editing. [Corresponding Author]: Supervision, Project administration, Writing — review &amp; editing.</w:t>
      </w:r>
    </w:p>
    <w:p>
      <w:pPr>
        <w:pStyle w:val="Heading2"/>
      </w:pPr>
      <w:r>
        <w:rPr>
          <w:rFonts w:ascii="Times New Roman" w:hAnsi="Times New Roman"/>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authors used a large language-model coding assistant to develop the reproducible search, extraction and analysis code and to assist with drafting. The authors reviewed and edited all content and take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102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