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Tables</w:t>
      </w:r>
    </w:p>
    <w:p>
      <w:r>
        <w:t>Dilution-dependent antibacterial activity of honey: a systematic review and quantitative synthesis of physicochemical and microbiological evidence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r>
        <w:rPr>
          <w:b/>
        </w:rPr>
        <w:t xml:space="preserve">Table 1. </w:t>
      </w:r>
      <w:r>
        <w:t>Median MIC (% honey) by organism and reported concentration basis.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000000"/>
          <w:left w:val="none" w:sz="0"/>
          <w:bottom w:val="single" w:sz="8" w:color="000000"/>
          <w:right w:val="none" w:sz="0"/>
          <w:insideH w:val="none" w:sz="0"/>
          <w:insideV w:val="none" w:sz="0"/>
        </w:tblBorders>
      </w:tblPr>
      <w:tblGrid>
        <w:gridCol w:w="1728"/>
        <w:gridCol w:w="1728"/>
        <w:gridCol w:w="1728"/>
        <w:gridCol w:w="1728"/>
        <w:gridCol w:w="1728"/>
      </w:tblGrid>
      <w:tr>
        <w:trPr>
          <w:tblHeader/>
        </w:trPr>
        <w:tc>
          <w:tcPr>
            <w:tcW w:type="dxa" w:w="1728"/>
            <w:tcBorders>
              <w:top w:val="none" w:sz="0"/>
              <w:left w:val="none" w:sz="0"/>
              <w:right w:val="none" w:sz="0"/>
              <w:bottom w:val="single" w:sz="8" w:color="000000"/>
            </w:tcBorders>
          </w:tcPr>
          <w:p>
            <w:r>
              <w:rPr>
                <w:b/>
              </w:rPr>
              <w:t>Organism</w:t>
            </w:r>
          </w:p>
        </w:tc>
        <w:tc>
          <w:tcPr>
            <w:tcW w:type="dxa" w:w="1728"/>
            <w:tcBorders>
              <w:top w:val="none" w:sz="0"/>
              <w:left w:val="none" w:sz="0"/>
              <w:right w:val="none" w:sz="0"/>
              <w:bottom w:val="single" w:sz="8" w:color="000000"/>
            </w:tcBorders>
          </w:tcPr>
          <w:p>
            <w:r>
              <w:rPr>
                <w:b/>
              </w:rPr>
              <w:t>% basis unspecified</w:t>
            </w:r>
          </w:p>
        </w:tc>
        <w:tc>
          <w:tcPr>
            <w:tcW w:type="dxa" w:w="1728"/>
            <w:tcBorders>
              <w:top w:val="none" w:sz="0"/>
              <w:left w:val="none" w:sz="0"/>
              <w:right w:val="none" w:sz="0"/>
              <w:bottom w:val="single" w:sz="8" w:color="000000"/>
            </w:tcBorders>
          </w:tcPr>
          <w:p>
            <w:r>
              <w:rPr>
                <w:b/>
              </w:rPr>
              <w:t>% v/v</w:t>
            </w:r>
          </w:p>
        </w:tc>
        <w:tc>
          <w:tcPr>
            <w:tcW w:type="dxa" w:w="1728"/>
            <w:tcBorders>
              <w:top w:val="none" w:sz="0"/>
              <w:left w:val="none" w:sz="0"/>
              <w:right w:val="none" w:sz="0"/>
              <w:bottom w:val="single" w:sz="8" w:color="000000"/>
            </w:tcBorders>
          </w:tcPr>
          <w:p>
            <w:r>
              <w:rPr>
                <w:b/>
              </w:rPr>
              <w:t>% w/v</w:t>
            </w:r>
          </w:p>
        </w:tc>
        <w:tc>
          <w:tcPr>
            <w:tcW w:type="dxa" w:w="1728"/>
            <w:tcBorders>
              <w:top w:val="none" w:sz="0"/>
              <w:left w:val="none" w:sz="0"/>
              <w:right w:val="none" w:sz="0"/>
              <w:bottom w:val="single" w:sz="8" w:color="000000"/>
            </w:tcBorders>
          </w:tcPr>
          <w:p>
            <w:r>
              <w:rPr>
                <w:b/>
              </w:rPr>
              <w:t>% w/w</w:t>
            </w:r>
          </w:p>
        </w:tc>
      </w:tr>
      <w:tr>
        <w:tc>
          <w:tcPr>
            <w:tcW w:type="dxa" w:w="1728"/>
          </w:tcPr>
          <w:p>
            <w:r>
              <w:t>S. aureus</w:t>
            </w:r>
          </w:p>
        </w:tc>
        <w:tc>
          <w:tcPr>
            <w:tcW w:type="dxa" w:w="1728"/>
          </w:tcPr>
          <w:p>
            <w:r>
              <w:t>19.0 [10.0-25.0]; 13/80/107</w:t>
            </w:r>
          </w:p>
        </w:tc>
        <w:tc>
          <w:tcPr>
            <w:tcW w:type="dxa" w:w="1728"/>
          </w:tcPr>
          <w:p>
            <w:r>
              <w:t>25.0 [4.0-25.0]; 5/17/37</w:t>
            </w:r>
          </w:p>
        </w:tc>
        <w:tc>
          <w:tcPr>
            <w:tcW w:type="dxa" w:w="1728"/>
          </w:tcPr>
          <w:p>
            <w:r>
              <w:t>12.4 [6.8-17.8]; 10/71/108</w:t>
            </w:r>
          </w:p>
        </w:tc>
        <w:tc>
          <w:tcPr>
            <w:tcW w:type="dxa" w:w="1728"/>
          </w:tcPr>
          <w:p>
            <w:r>
              <w:t>7.2 [6.5-9.3]; 1/20/20</w:t>
            </w:r>
          </w:p>
        </w:tc>
      </w:tr>
      <w:tr>
        <w:tc>
          <w:tcPr>
            <w:tcW w:type="dxa" w:w="1728"/>
          </w:tcPr>
          <w:p>
            <w:r>
              <w:t>MRSA</w:t>
            </w:r>
          </w:p>
        </w:tc>
        <w:tc>
          <w:tcPr>
            <w:tcW w:type="dxa" w:w="1728"/>
          </w:tcPr>
          <w:p>
            <w:r>
              <w:t>12.5 [6.2-25.0]; 5/25/107</w:t>
            </w:r>
          </w:p>
        </w:tc>
        <w:tc>
          <w:tcPr>
            <w:tcW w:type="dxa" w:w="1728"/>
          </w:tcPr>
          <w:p>
            <w:r>
              <w:t>6.2 [6.2-20.0]; 3/13/13</w:t>
            </w:r>
          </w:p>
        </w:tc>
        <w:tc>
          <w:tcPr>
            <w:tcW w:type="dxa" w:w="1728"/>
          </w:tcPr>
          <w:p>
            <w:r>
              <w:t>10.0 [10.0-13.5]; 3/21/27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S. epidermidis</w:t>
            </w:r>
          </w:p>
        </w:tc>
        <w:tc>
          <w:tcPr>
            <w:tcW w:type="dxa" w:w="1728"/>
          </w:tcPr>
          <w:p>
            <w:r>
              <w:t>12.5 [6.2-12.5]; 3/23/30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E. coli</w:t>
            </w:r>
          </w:p>
        </w:tc>
        <w:tc>
          <w:tcPr>
            <w:tcW w:type="dxa" w:w="1728"/>
          </w:tcPr>
          <w:p>
            <w:r>
              <w:t>25.0 [16.0-40.0]; 14/162/291</w:t>
            </w:r>
          </w:p>
        </w:tc>
        <w:tc>
          <w:tcPr>
            <w:tcW w:type="dxa" w:w="1728"/>
          </w:tcPr>
          <w:p>
            <w:r>
              <w:t>8.0 [4.0-15.0]; 6/20/31</w:t>
            </w:r>
          </w:p>
        </w:tc>
        <w:tc>
          <w:tcPr>
            <w:tcW w:type="dxa" w:w="1728"/>
          </w:tcPr>
          <w:p>
            <w:r>
              <w:t>10.0 [10.0-18.0]; 6/75/83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P. aeruginosa</w:t>
            </w:r>
          </w:p>
        </w:tc>
        <w:tc>
          <w:tcPr>
            <w:tcW w:type="dxa" w:w="1728"/>
          </w:tcPr>
          <w:p>
            <w:r>
              <w:t>25.0 [18.2-40.0]; 12/100/179</w:t>
            </w:r>
          </w:p>
        </w:tc>
        <w:tc>
          <w:tcPr>
            <w:tcW w:type="dxa" w:w="1728"/>
          </w:tcPr>
          <w:p>
            <w:r>
              <w:t>10.2 [4.2-43.8]; 3/4/10</w:t>
            </w:r>
          </w:p>
        </w:tc>
        <w:tc>
          <w:tcPr>
            <w:tcW w:type="dxa" w:w="1728"/>
          </w:tcPr>
          <w:p>
            <w:r>
              <w:t>25.0 [18.0-38.0]; 11/80/97</w:t>
            </w:r>
          </w:p>
        </w:tc>
        <w:tc>
          <w:tcPr>
            <w:tcW w:type="dxa" w:w="1728"/>
          </w:tcPr>
          <w:p>
            <w:r>
              <w:t>15.0 [15.0-20.0]; 1/33/33</w:t>
            </w:r>
          </w:p>
        </w:tc>
      </w:tr>
      <w:tr>
        <w:tc>
          <w:tcPr>
            <w:tcW w:type="dxa" w:w="1728"/>
          </w:tcPr>
          <w:p>
            <w:r>
              <w:t>Salmonella</w:t>
            </w:r>
          </w:p>
        </w:tc>
        <w:tc>
          <w:tcPr>
            <w:tcW w:type="dxa" w:w="1728"/>
          </w:tcPr>
          <w:p>
            <w:r>
              <w:t>22.9 [13.1-25.0]; 8/47/66</w:t>
            </w:r>
          </w:p>
        </w:tc>
        <w:tc>
          <w:tcPr>
            <w:tcW w:type="dxa" w:w="1728"/>
          </w:tcPr>
          <w:p>
            <w:r>
              <w:t>12.5 [6.2-25.0]; 5/23/233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L. monocytogenes</w:t>
            </w:r>
          </w:p>
        </w:tc>
        <w:tc>
          <w:tcPr>
            <w:tcW w:type="dxa" w:w="1728"/>
          </w:tcPr>
          <w:p>
            <w:r>
              <w:t>27.5 [21.2-46.2]; 3/14/18</w:t>
            </w:r>
          </w:p>
        </w:tc>
        <w:tc>
          <w:tcPr>
            <w:tcW w:type="dxa" w:w="1728"/>
          </w:tcPr>
          <w:p>
            <w:r>
              <w:t>2.0 [1.0-3.0]; 2/4/11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</w:tbl>
    <w:p>
      <w:r>
        <w:rPr>
          <w:sz w:val="18"/>
        </w:rPr>
        <w:t>Note: MIC, minimum inhibitory concentration; MRSA, methicillin-resistant S. aureus. Entries are median [IQR]; n studies/n honey samples/n observations. Bases are not commensurate and are never pooled; cells with fewer than five observations are suppressed.</w:t>
      </w:r>
    </w:p>
    <w:p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