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activity of honey: a cross-study quantitative reanalysis of published experimental data</w:t>
      </w:r>
    </w:p>
    <w:p>
      <w:r>
        <w:t>For submission to Journal of Food Science.</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Database</w:t>
            </w:r>
          </w:p>
        </w:tc>
        <w:tc>
          <w:tcPr>
            <w:tcW w:type="dxa" w:w="1728"/>
            <w:tcBorders>
              <w:top w:val="none" w:sz="0"/>
              <w:left w:val="none" w:sz="0"/>
              <w:right w:val="none" w:sz="0"/>
              <w:bottom w:val="single" w:sz="8" w:color="000000"/>
            </w:tcBorders>
          </w:tcPr>
          <w:p>
            <w:r>
              <w:rPr>
                <w:b/>
              </w:rPr>
              <w:t>Query</w:t>
            </w:r>
          </w:p>
        </w:tc>
        <w:tc>
          <w:tcPr>
            <w:tcW w:type="dxa" w:w="1728"/>
            <w:tcBorders>
              <w:top w:val="none" w:sz="0"/>
              <w:left w:val="none" w:sz="0"/>
              <w:right w:val="none" w:sz="0"/>
              <w:bottom w:val="single" w:sz="8" w:color="000000"/>
            </w:tcBorders>
          </w:tcPr>
          <w:p>
            <w:r>
              <w:rPr>
                <w:b/>
              </w:rPr>
              <w:t>Date</w:t>
            </w:r>
          </w:p>
        </w:tc>
        <w:tc>
          <w:tcPr>
            <w:tcW w:type="dxa" w:w="1728"/>
            <w:tcBorders>
              <w:top w:val="none" w:sz="0"/>
              <w:left w:val="none" w:sz="0"/>
              <w:right w:val="none" w:sz="0"/>
              <w:bottom w:val="single" w:sz="8" w:color="000000"/>
            </w:tcBorders>
          </w:tcPr>
          <w:p>
            <w:r>
              <w:rPr>
                <w:b/>
              </w:rPr>
              <w:t>Hits</w:t>
            </w:r>
          </w:p>
        </w:tc>
        <w:tc>
          <w:tcPr>
            <w:tcW w:type="dxa" w:w="1728"/>
            <w:tcBorders>
              <w:top w:val="none" w:sz="0"/>
              <w:left w:val="none" w:sz="0"/>
              <w:right w:val="none" w:sz="0"/>
              <w:bottom w:val="single" w:sz="8" w:color="000000"/>
            </w:tcBorders>
          </w:tcPr>
          <w:p>
            <w:r>
              <w:rPr>
                <w:b/>
              </w:rP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(bacteria*[Title/Abstract] OR antimicrobial[Title/Abstract])</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solution"[Title/Abstract]) AND (antibacterial[Title/Abstract] OR antimicrobial[Title/Abstract] OR inhibitory[Title/Abstract])</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(antibacterial[Title/Abstract] OR antimicrobial[Title/Abstract] OR bactericidal[Title/Abstract])</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"broth dilution"[Title/Abstract])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KL[Author] AND honey AND antibacterial; Molan PC[Author] AND honey; Voidarou C[Author] AND honey; Cooper RA[Author] AND honey AND antibacterial; Carnwath R[Author] AND honey; Alnaqdy[Author] AND honey; Lusby PE[Author] AND honey; Jenkins R[Author] AND honey AND antibacterial; Wilkinson JM[Author] AND honey; Brudzynski K[Author] AND honey AND antibacterial; Bucekova M[Author] AND honey; Kwakman PHS[Author] AND honey; Johnston M[Author] AND honey AND antibacterial; Girma A[Author] AND honey; Masoura M[Author] AND honey; Grecka K[Author] AND honey; Nolan VC[Author] AND honey; Oryan A[Author] AND honey AND antibacterial; Cokcetin NN[Author] AND honey; Bouacha M[Author] AND honey; Combarros-Fuertes P[Author] AND honey; Shepherd P[Author] AND honey; Carter DA[Author] AND honey</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Decision rule outcome</w:t>
            </w:r>
          </w:p>
        </w:tc>
        <w:tc>
          <w:tcPr>
            <w:tcW w:type="dxa" w:w="4320"/>
            <w:tcBorders>
              <w:top w:val="none" w:sz="0"/>
              <w:left w:val="none" w:sz="0"/>
              <w:right w:val="none" w:sz="0"/>
              <w:bottom w:val="single" w:sz="8" w:color="000000"/>
            </w:tcBorders>
          </w:tcPr>
          <w:p>
            <w:r>
              <w:rPr>
                <w:b/>
              </w:rPr>
              <w:t>n records</w:t>
            </w:r>
          </w:p>
        </w:tc>
      </w:tr>
      <w:tr>
        <w:tc>
          <w:tcPr>
            <w:tcW w:type="dxa" w:w="4320"/>
          </w:tcPr>
          <w:p>
            <w:r>
              <w:t>meets criteria</w:t>
            </w:r>
          </w:p>
        </w:tc>
        <w:tc>
          <w:tcPr>
            <w:tcW w:type="dxa" w:w="4320"/>
          </w:tcPr>
          <w:p>
            <w:r>
              <w:t>381</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23</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post-hoc audit: not honey-specific primary data</w:t>
            </w:r>
          </w:p>
        </w:tc>
        <w:tc>
          <w:tcPr>
            <w:tcW w:type="dxa" w:w="4320"/>
          </w:tcPr>
          <w:p>
            <w:r>
              <w:t>8</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Outcome</w:t>
            </w:r>
          </w:p>
        </w:tc>
        <w:tc>
          <w:tcPr>
            <w:tcW w:type="dxa" w:w="4320"/>
            <w:tcBorders>
              <w:top w:val="none" w:sz="0"/>
              <w:left w:val="none" w:sz="0"/>
              <w:right w:val="none" w:sz="0"/>
              <w:bottom w:val="single" w:sz="8" w:color="000000"/>
            </w:tcBorders>
          </w:tcPr>
          <w:p>
            <w:r>
              <w:rPr>
                <w:b/>
              </w:rPr>
              <w:t>n rows</w:t>
            </w:r>
          </w:p>
        </w:tc>
      </w:tr>
      <w:tr>
        <w:tc>
          <w:tcPr>
            <w:tcW w:type="dxa" w:w="4320"/>
          </w:tcPr>
          <w:p>
            <w:r>
              <w:t>MIC</w:t>
            </w:r>
          </w:p>
        </w:tc>
        <w:tc>
          <w:tcPr>
            <w:tcW w:type="dxa" w:w="4320"/>
          </w:tcPr>
          <w:p>
            <w:r>
              <w:t>2571</w:t>
            </w:r>
          </w:p>
        </w:tc>
      </w:tr>
      <w:tr>
        <w:tc>
          <w:tcPr>
            <w:tcW w:type="dxa" w:w="4320"/>
          </w:tcPr>
          <w:p>
            <w:r>
              <w:t>zone</w:t>
            </w:r>
          </w:p>
        </w:tc>
        <w:tc>
          <w:tcPr>
            <w:tcW w:type="dxa" w:w="4320"/>
          </w:tcPr>
          <w:p>
            <w:r>
              <w:t>1371</w:t>
            </w:r>
          </w:p>
        </w:tc>
      </w:tr>
      <w:tr>
        <w:tc>
          <w:tcPr>
            <w:tcW w:type="dxa" w:w="4320"/>
          </w:tcPr>
          <w:p>
            <w:r>
              <w:t>MBC</w:t>
            </w:r>
          </w:p>
        </w:tc>
        <w:tc>
          <w:tcPr>
            <w:tcW w:type="dxa" w:w="4320"/>
          </w:tcPr>
          <w:p>
            <w:r>
              <w:t>710</w:t>
            </w:r>
          </w:p>
        </w:tc>
      </w:tr>
      <w:tr>
        <w:tc>
          <w:tcPr>
            <w:tcW w:type="dxa" w:w="4320"/>
          </w:tcPr>
          <w:p>
            <w:r>
              <w:t>H2O2</w:t>
            </w:r>
          </w:p>
        </w:tc>
        <w:tc>
          <w:tcPr>
            <w:tcW w:type="dxa" w:w="4320"/>
          </w:tcPr>
          <w:p>
            <w:r>
              <w:t>94</w:t>
            </w:r>
          </w:p>
        </w:tc>
      </w:tr>
      <w:tr>
        <w:tc>
          <w:tcPr>
            <w:tcW w:type="dxa" w:w="4320"/>
          </w:tcPr>
          <w:p>
            <w:r>
              <w:t>series</w:t>
            </w:r>
          </w:p>
        </w:tc>
        <w:tc>
          <w:tcPr>
            <w:tcW w:type="dxa" w:w="4320"/>
          </w:tcPr>
          <w:p>
            <w:r>
              <w:t>84</w:t>
            </w:r>
          </w:p>
        </w:tc>
      </w:tr>
      <w:tr>
        <w:tc>
          <w:tcPr>
            <w:tcW w:type="dxa" w:w="4320"/>
          </w:tcPr>
          <w:p>
            <w:r>
              <w:t>phenol_equiv</w:t>
            </w:r>
          </w:p>
        </w:tc>
        <w:tc>
          <w:tcPr>
            <w:tcW w:type="dxa" w:w="4320"/>
          </w:tcPr>
          <w:p>
            <w:r>
              <w:t>69</w:t>
            </w:r>
          </w:p>
        </w:tc>
      </w:tr>
      <w:tr>
        <w:tc>
          <w:tcPr>
            <w:tcW w:type="dxa" w:w="4320"/>
          </w:tcPr>
          <w:p>
            <w:r>
              <w:t>TPC</w:t>
            </w:r>
          </w:p>
        </w:tc>
        <w:tc>
          <w:tcPr>
            <w:tcW w:type="dxa" w:w="4320"/>
          </w:tcPr>
          <w:p>
            <w:r>
              <w:t>49</w:t>
            </w:r>
          </w:p>
        </w:tc>
      </w:tr>
      <w:tr>
        <w:tc>
          <w:tcPr>
            <w:tcW w:type="dxa" w:w="4320"/>
          </w:tcPr>
          <w:p>
            <w:r>
              <w:t>GOX</w:t>
            </w:r>
          </w:p>
        </w:tc>
        <w:tc>
          <w:tcPr>
            <w:tcW w:type="dxa" w:w="4320"/>
          </w:tcPr>
          <w:p>
            <w:r>
              <w:t>33</w:t>
            </w:r>
          </w:p>
        </w:tc>
      </w:tr>
      <w:tr>
        <w:tc>
          <w:tcPr>
            <w:tcW w:type="dxa" w:w="4320"/>
          </w:tcPr>
          <w:p>
            <w:r>
              <w:t>aw</w:t>
            </w:r>
          </w:p>
        </w:tc>
        <w:tc>
          <w:tcPr>
            <w:tcW w:type="dxa" w:w="4320"/>
          </w:tcPr>
          <w:p>
            <w:r>
              <w:t>19</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color</w:t>
            </w:r>
          </w:p>
        </w:tc>
        <w:tc>
          <w:tcPr>
            <w:tcW w:type="dxa" w:w="4320"/>
          </w:tcPr>
          <w:p>
            <w:r>
              <w:t>12</w:t>
            </w:r>
          </w:p>
        </w:tc>
      </w:tr>
      <w:tr>
        <w:tc>
          <w:tcPr>
            <w:tcW w:type="dxa" w:w="4320"/>
          </w:tcPr>
          <w:p>
            <w:r>
              <w:t>MBEC</w:t>
            </w:r>
          </w:p>
        </w:tc>
        <w:tc>
          <w:tcPr>
            <w:tcW w:type="dxa" w:w="4320"/>
          </w:tcPr>
          <w:p>
            <w:r>
              <w:t>12</w:t>
            </w:r>
          </w:p>
        </w:tc>
      </w:tr>
      <w:tr>
        <w:tc>
          <w:tcPr>
            <w:tcW w:type="dxa" w:w="4320"/>
          </w:tcPr>
          <w:p>
            <w:r>
              <w:t>MIC50</w:t>
            </w:r>
          </w:p>
        </w:tc>
        <w:tc>
          <w:tcPr>
            <w:tcW w:type="dxa" w:w="4320"/>
          </w:tcPr>
          <w:p>
            <w:r>
              <w:t>10</w:t>
            </w:r>
          </w:p>
        </w:tc>
      </w:tr>
      <w:tr>
        <w:tc>
          <w:tcPr>
            <w:tcW w:type="dxa" w:w="4320"/>
          </w:tcPr>
          <w:p>
            <w:r>
              <w:t>pH</w:t>
            </w:r>
          </w:p>
        </w:tc>
        <w:tc>
          <w:tcPr>
            <w:tcW w:type="dxa" w:w="4320"/>
          </w:tcPr>
          <w:p>
            <w:r>
              <w:t>10</w:t>
            </w:r>
          </w:p>
        </w:tc>
      </w:tr>
      <w:tr>
        <w:tc>
          <w:tcPr>
            <w:tcW w:type="dxa" w:w="4320"/>
          </w:tcPr>
          <w:p>
            <w:r>
              <w:t>pct_inhib_biofilm</w:t>
            </w:r>
          </w:p>
        </w:tc>
        <w:tc>
          <w:tcPr>
            <w:tcW w:type="dxa" w:w="4320"/>
          </w:tcPr>
          <w:p>
            <w:r>
              <w:t>8</w:t>
            </w:r>
          </w:p>
        </w:tc>
      </w:tr>
      <w:tr>
        <w:tc>
          <w:tcPr>
            <w:tcW w:type="dxa" w:w="4320"/>
          </w:tcPr>
          <w:p>
            <w:r>
              <w:t>MGO</w:t>
            </w:r>
          </w:p>
        </w:tc>
        <w:tc>
          <w:tcPr>
            <w:tcW w:type="dxa" w:w="4320"/>
          </w:tcPr>
          <w:p>
            <w:r>
              <w:t>4</w:t>
            </w:r>
          </w:p>
        </w:tc>
      </w:tr>
      <w:tr>
        <w:tc>
          <w:tcPr>
            <w:tcW w:type="dxa" w:w="4320"/>
          </w:tcPr>
          <w:p>
            <w:r>
              <w:t>PLA</w:t>
            </w:r>
          </w:p>
        </w:tc>
        <w:tc>
          <w:tcPr>
            <w:tcW w:type="dxa" w:w="4320"/>
          </w:tcPr>
          <w:p>
            <w:r>
              <w:t>4</w:t>
            </w:r>
          </w:p>
        </w:tc>
      </w:tr>
    </w:tbl>
    <w:p/>
    <w:p>
      <w:r>
        <w:t>Reported concentration bases were preserved and analyzed separately:</w:t>
      </w:r>
    </w:p>
    <w:p>
      <w:r>
        <w:rPr>
          <w:b/>
        </w:rPr>
        <w:t>Table S4. Concentration unit bases (not pooled).</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Unit basis</w:t>
            </w:r>
          </w:p>
        </w:tc>
        <w:tc>
          <w:tcPr>
            <w:tcW w:type="dxa" w:w="4320"/>
            <w:tcBorders>
              <w:top w:val="none" w:sz="0"/>
              <w:left w:val="none" w:sz="0"/>
              <w:right w:val="none" w:sz="0"/>
              <w:bottom w:val="single" w:sz="8" w:color="000000"/>
            </w:tcBorders>
          </w:tcPr>
          <w:p>
            <w:r>
              <w:rPr>
                <w:b/>
              </w:rPr>
              <w:t>n rows</w:t>
            </w:r>
          </w:p>
        </w:tc>
      </w:tr>
      <w:tr>
        <w:tc>
          <w:tcPr>
            <w:tcW w:type="dxa" w:w="4320"/>
          </w:tcPr>
          <w:p>
            <w:r>
              <w:t>% (basis unspecified)</w:t>
            </w:r>
          </w:p>
        </w:tc>
        <w:tc>
          <w:tcPr>
            <w:tcW w:type="dxa" w:w="4320"/>
          </w:tcPr>
          <w:p>
            <w:r>
              <w:t>1396</w:t>
            </w:r>
          </w:p>
        </w:tc>
      </w:tr>
      <w:tr>
        <w:tc>
          <w:tcPr>
            <w:tcW w:type="dxa" w:w="4320"/>
          </w:tcPr>
          <w:p>
            <w:r>
              <w:t>mm</w:t>
            </w:r>
          </w:p>
        </w:tc>
        <w:tc>
          <w:tcPr>
            <w:tcW w:type="dxa" w:w="4320"/>
          </w:tcPr>
          <w:p>
            <w:r>
              <w:t>1324</w:t>
            </w:r>
          </w:p>
        </w:tc>
      </w:tr>
      <w:tr>
        <w:tc>
          <w:tcPr>
            <w:tcW w:type="dxa" w:w="4320"/>
          </w:tcPr>
          <w:p>
            <w:r>
              <w:t>other</w:t>
            </w:r>
          </w:p>
        </w:tc>
        <w:tc>
          <w:tcPr>
            <w:tcW w:type="dxa" w:w="4320"/>
          </w:tcPr>
          <w:p>
            <w:r>
              <w:t>781</w:t>
            </w:r>
          </w:p>
        </w:tc>
      </w:tr>
      <w:tr>
        <w:tc>
          <w:tcPr>
            <w:tcW w:type="dxa" w:w="4320"/>
          </w:tcPr>
          <w:p>
            <w:r>
              <w:t>%v/v</w:t>
            </w:r>
          </w:p>
        </w:tc>
        <w:tc>
          <w:tcPr>
            <w:tcW w:type="dxa" w:w="4320"/>
          </w:tcPr>
          <w:p>
            <w:r>
              <w:t>683</w:t>
            </w:r>
          </w:p>
        </w:tc>
      </w:tr>
      <w:tr>
        <w:tc>
          <w:tcPr>
            <w:tcW w:type="dxa" w:w="4320"/>
          </w:tcPr>
          <w:p>
            <w:r>
              <w:t>%w/v</w:t>
            </w:r>
          </w:p>
        </w:tc>
        <w:tc>
          <w:tcPr>
            <w:tcW w:type="dxa" w:w="4320"/>
          </w:tcPr>
          <w:p>
            <w:r>
              <w:t>514</w:t>
            </w:r>
          </w:p>
        </w:tc>
      </w:tr>
      <w:tr>
        <w:tc>
          <w:tcPr>
            <w:tcW w:type="dxa" w:w="4320"/>
          </w:tcPr>
          <w:p>
            <w:r>
              <w:t>mass</w:t>
            </w:r>
          </w:p>
        </w:tc>
        <w:tc>
          <w:tcPr>
            <w:tcW w:type="dxa" w:w="4320"/>
          </w:tcPr>
          <w:p>
            <w:r>
              <w:t>245</w:t>
            </w:r>
          </w:p>
        </w:tc>
      </w:tr>
      <w:tr>
        <w:tc>
          <w:tcPr>
            <w:tcW w:type="dxa" w:w="4320"/>
          </w:tcPr>
          <w:p>
            <w:r>
              <w:t>%w/w</w:t>
            </w:r>
          </w:p>
        </w:tc>
        <w:tc>
          <w:tcPr>
            <w:tcW w:type="dxa" w:w="4320"/>
          </w:tcPr>
          <w:p>
            <w:r>
              <w:t>99</w:t>
            </w:r>
          </w:p>
        </w:tc>
      </w:tr>
      <w:tr>
        <w:tc>
          <w:tcPr>
            <w:tcW w:type="dxa" w:w="4320"/>
          </w:tcPr>
          <w:p>
            <w:r>
              <w:t>%w/v phenol</w:t>
            </w:r>
          </w:p>
        </w:tc>
        <w:tc>
          <w:tcPr>
            <w:tcW w:type="dxa" w:w="4320"/>
          </w:tcPr>
          <w:p>
            <w:r>
              <w:t>69</w:t>
            </w:r>
          </w:p>
        </w:tc>
      </w:tr>
    </w:tbl>
    <w:p/>
    <w:p>
      <w:pPr>
        <w:pStyle w:val="Heading2"/>
      </w:pPr>
      <w:r>
        <w:t>S4. Extraction-selection characterization</w:t>
      </w:r>
    </w:p>
    <w:p>
      <w:r>
        <w:t>Of 404 eligible studies, 247 had a resolvable PubMed Central identifier, 226 had an open-access JATS XML full text, and 100 yielded machine-extractable outcome data. Extracted studies were more recent (median year 2022 vs. 2020; Mann-Whitney p = 4.93e-04). The most frequent journals among non-extracted eligible studies:</w:t>
      </w:r>
    </w:p>
    <w:p>
      <w:r>
        <w:rPr>
          <w:b/>
        </w:rPr>
        <w:t>Table S5. Journals most represented among non-extracted eligible studies.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Journal (non-extracted eligible)</w:t>
            </w:r>
          </w:p>
        </w:tc>
        <w:tc>
          <w:tcPr>
            <w:tcW w:type="dxa" w:w="4320"/>
            <w:tcBorders>
              <w:top w:val="none" w:sz="0"/>
              <w:left w:val="none" w:sz="0"/>
              <w:right w:val="none" w:sz="0"/>
              <w:bottom w:val="single" w:sz="8" w:color="000000"/>
            </w:tcBorders>
          </w:tcPr>
          <w:p>
            <w:r>
              <w:rPr>
                <w:b/>
              </w:rP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12</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Journal of medicinal food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960"/>
        <w:gridCol w:w="960"/>
        <w:gridCol w:w="960"/>
        <w:gridCol w:w="960"/>
        <w:gridCol w:w="960"/>
        <w:gridCol w:w="960"/>
        <w:gridCol w:w="960"/>
        <w:gridCol w:w="960"/>
        <w:gridCol w:w="960"/>
      </w:tblGrid>
      <w:tr>
        <w:trPr>
          <w:tblHeader/>
        </w:trPr>
        <w:tc>
          <w:tcPr>
            <w:tcW w:type="dxa" w:w="960"/>
            <w:tcBorders>
              <w:top w:val="none" w:sz="0"/>
              <w:left w:val="none" w:sz="0"/>
              <w:right w:val="none" w:sz="0"/>
              <w:bottom w:val="single" w:sz="8" w:color="000000"/>
            </w:tcBorders>
          </w:tcPr>
          <w:p>
            <w:r>
              <w:rPr>
                <w:b/>
              </w:rPr>
              <w:t>study_id</w:t>
            </w:r>
          </w:p>
        </w:tc>
        <w:tc>
          <w:tcPr>
            <w:tcW w:type="dxa" w:w="960"/>
            <w:tcBorders>
              <w:top w:val="none" w:sz="0"/>
              <w:left w:val="none" w:sz="0"/>
              <w:right w:val="none" w:sz="0"/>
              <w:bottom w:val="single" w:sz="8" w:color="000000"/>
            </w:tcBorders>
          </w:tcPr>
          <w:p>
            <w:r>
              <w:rPr>
                <w:b/>
              </w:rPr>
              <w:t>D1_assay_std</w:t>
            </w:r>
          </w:p>
        </w:tc>
        <w:tc>
          <w:tcPr>
            <w:tcW w:type="dxa" w:w="960"/>
            <w:tcBorders>
              <w:top w:val="none" w:sz="0"/>
              <w:left w:val="none" w:sz="0"/>
              <w:right w:val="none" w:sz="0"/>
              <w:bottom w:val="single" w:sz="8" w:color="000000"/>
            </w:tcBorders>
          </w:tcPr>
          <w:p>
            <w:r>
              <w:rPr>
                <w:b/>
              </w:rPr>
              <w:t>D2_comparator</w:t>
            </w:r>
          </w:p>
        </w:tc>
        <w:tc>
          <w:tcPr>
            <w:tcW w:type="dxa" w:w="960"/>
            <w:tcBorders>
              <w:top w:val="none" w:sz="0"/>
              <w:left w:val="none" w:sz="0"/>
              <w:right w:val="none" w:sz="0"/>
              <w:bottom w:val="single" w:sz="8" w:color="000000"/>
            </w:tcBorders>
          </w:tcPr>
          <w:p>
            <w:r>
              <w:rPr>
                <w:b/>
              </w:rPr>
              <w:t>D3_dispersion</w:t>
            </w:r>
          </w:p>
        </w:tc>
        <w:tc>
          <w:tcPr>
            <w:tcW w:type="dxa" w:w="960"/>
            <w:tcBorders>
              <w:top w:val="none" w:sz="0"/>
              <w:left w:val="none" w:sz="0"/>
              <w:right w:val="none" w:sz="0"/>
              <w:bottom w:val="single" w:sz="8" w:color="000000"/>
            </w:tcBorders>
          </w:tcPr>
          <w:p>
            <w:r>
              <w:rPr>
                <w:b/>
              </w:rPr>
              <w:t>conc_series_available</w:t>
            </w:r>
          </w:p>
        </w:tc>
        <w:tc>
          <w:tcPr>
            <w:tcW w:type="dxa" w:w="960"/>
            <w:tcBorders>
              <w:top w:val="none" w:sz="0"/>
              <w:left w:val="none" w:sz="0"/>
              <w:right w:val="none" w:sz="0"/>
              <w:bottom w:val="single" w:sz="8" w:color="000000"/>
            </w:tcBorders>
          </w:tcPr>
          <w:p>
            <w:r>
              <w:rPr>
                <w:b/>
              </w:rPr>
              <w:t>D5_mechanism</w:t>
            </w:r>
          </w:p>
        </w:tc>
        <w:tc>
          <w:tcPr>
            <w:tcW w:type="dxa" w:w="960"/>
            <w:tcBorders>
              <w:top w:val="none" w:sz="0"/>
              <w:left w:val="none" w:sz="0"/>
              <w:right w:val="none" w:sz="0"/>
              <w:bottom w:val="single" w:sz="8" w:color="000000"/>
            </w:tcBorders>
          </w:tcPr>
          <w:p>
            <w:r>
              <w:rPr>
                <w:b/>
              </w:rPr>
              <w:t>D6_reporting</w:t>
            </w:r>
          </w:p>
        </w:tc>
        <w:tc>
          <w:tcPr>
            <w:tcW w:type="dxa" w:w="960"/>
            <w:tcBorders>
              <w:top w:val="none" w:sz="0"/>
              <w:left w:val="none" w:sz="0"/>
              <w:right w:val="none" w:sz="0"/>
              <w:bottom w:val="single" w:sz="8" w:color="000000"/>
            </w:tcBorders>
          </w:tcPr>
          <w:p>
            <w:r>
              <w:rPr>
                <w:b/>
              </w:rPr>
              <w:t>total</w:t>
            </w:r>
          </w:p>
        </w:tc>
        <w:tc>
          <w:tcPr>
            <w:tcW w:type="dxa" w:w="960"/>
            <w:tcBorders>
              <w:top w:val="none" w:sz="0"/>
              <w:left w:val="none" w:sz="0"/>
              <w:right w:val="none" w:sz="0"/>
              <w:bottom w:val="single" w:sz="8" w:color="000000"/>
            </w:tcBorders>
          </w:tcPr>
          <w:p>
            <w:r>
              <w:rPr>
                <w:b/>
              </w:rPr>
              <w:t>rating</w:t>
            </w:r>
          </w:p>
        </w:tc>
      </w:tr>
      <w:tr>
        <w:tc>
          <w:tcPr>
            <w:tcW w:type="dxa" w:w="960"/>
          </w:tcPr>
          <w:p>
            <w:r>
              <w:t>PMC10000891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PMC10617706</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PMC13315830</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PMC13460517</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PMC3273858</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PMC4355501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PMC9906859</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2</w:t>
            </w:r>
          </w:p>
        </w:tc>
        <w:tc>
          <w:tcPr>
            <w:tcW w:type="dxa" w:w="960"/>
          </w:tcPr>
          <w:p>
            <w:r>
              <w:t>8</w:t>
            </w:r>
          </w:p>
        </w:tc>
        <w:tc>
          <w:tcPr>
            <w:tcW w:type="dxa" w:w="960"/>
          </w:tcPr>
          <w:p>
            <w:r>
              <w:t>low</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440"/>
        <w:gridCol w:w="1440"/>
        <w:gridCol w:w="1440"/>
        <w:gridCol w:w="1440"/>
        <w:gridCol w:w="1440"/>
        <w:gridCol w:w="1440"/>
      </w:tblGrid>
      <w:tr>
        <w:trPr>
          <w:tblHeader/>
        </w:trPr>
        <w:tc>
          <w:tcPr>
            <w:tcW w:type="dxa" w:w="1440"/>
            <w:tcBorders>
              <w:top w:val="none" w:sz="0"/>
              <w:left w:val="none" w:sz="0"/>
              <w:right w:val="none" w:sz="0"/>
              <w:bottom w:val="single" w:sz="8" w:color="000000"/>
            </w:tcBorders>
          </w:tcPr>
          <w:p>
            <w:r>
              <w:rPr>
                <w:b/>
              </w:rPr>
              <w:t>Parameter</w:t>
            </w:r>
          </w:p>
        </w:tc>
        <w:tc>
          <w:tcPr>
            <w:tcW w:type="dxa" w:w="1440"/>
            <w:tcBorders>
              <w:top w:val="none" w:sz="0"/>
              <w:left w:val="none" w:sz="0"/>
              <w:right w:val="none" w:sz="0"/>
              <w:bottom w:val="single" w:sz="8" w:color="000000"/>
            </w:tcBorders>
          </w:tcPr>
          <w:p>
            <w:r>
              <w:rPr>
                <w:b/>
              </w:rPr>
              <w:t>Outcome</w:t>
            </w:r>
          </w:p>
        </w:tc>
        <w:tc>
          <w:tcPr>
            <w:tcW w:type="dxa" w:w="1440"/>
            <w:tcBorders>
              <w:top w:val="none" w:sz="0"/>
              <w:left w:val="none" w:sz="0"/>
              <w:right w:val="none" w:sz="0"/>
              <w:bottom w:val="single" w:sz="8" w:color="000000"/>
            </w:tcBorders>
          </w:tcPr>
          <w:p>
            <w:r>
              <w:rPr>
                <w:b/>
              </w:rPr>
              <w:t>n</w:t>
            </w:r>
          </w:p>
        </w:tc>
        <w:tc>
          <w:tcPr>
            <w:tcW w:type="dxa" w:w="1440"/>
            <w:tcBorders>
              <w:top w:val="none" w:sz="0"/>
              <w:left w:val="none" w:sz="0"/>
              <w:right w:val="none" w:sz="0"/>
              <w:bottom w:val="single" w:sz="8" w:color="000000"/>
            </w:tcBorders>
          </w:tcPr>
          <w:p>
            <w:r>
              <w:rPr>
                <w:b/>
              </w:rPr>
              <w:t>n studies</w:t>
            </w:r>
          </w:p>
        </w:tc>
        <w:tc>
          <w:tcPr>
            <w:tcW w:type="dxa" w:w="1440"/>
            <w:tcBorders>
              <w:top w:val="none" w:sz="0"/>
              <w:left w:val="none" w:sz="0"/>
              <w:right w:val="none" w:sz="0"/>
              <w:bottom w:val="single" w:sz="8" w:color="000000"/>
            </w:tcBorders>
          </w:tcPr>
          <w:p>
            <w:r>
              <w:rPr>
                <w:b/>
              </w:rPr>
              <w:t>rho</w:t>
            </w:r>
          </w:p>
        </w:tc>
        <w:tc>
          <w:tcPr>
            <w:tcW w:type="dxa" w:w="1440"/>
            <w:tcBorders>
              <w:top w:val="none" w:sz="0"/>
              <w:left w:val="none" w:sz="0"/>
              <w:right w:val="none" w:sz="0"/>
              <w:bottom w:val="single" w:sz="8" w:color="000000"/>
            </w:tcBorders>
          </w:tcPr>
          <w:p>
            <w:r>
              <w:rPr>
                <w:b/>
              </w:rP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Model</w:t>
            </w:r>
          </w:p>
        </w:tc>
        <w:tc>
          <w:tcPr>
            <w:tcW w:type="dxa" w:w="2160"/>
            <w:tcBorders>
              <w:top w:val="none" w:sz="0"/>
              <w:left w:val="none" w:sz="0"/>
              <w:right w:val="none" w:sz="0"/>
              <w:bottom w:val="single" w:sz="8" w:color="000000"/>
            </w:tcBorders>
          </w:tcPr>
          <w:p>
            <w:r>
              <w:rPr>
                <w:b/>
              </w:rPr>
              <w:t>Predictors</w:t>
            </w:r>
          </w:p>
        </w:tc>
        <w:tc>
          <w:tcPr>
            <w:tcW w:type="dxa" w:w="2160"/>
            <w:tcBorders>
              <w:top w:val="none" w:sz="0"/>
              <w:left w:val="none" w:sz="0"/>
              <w:right w:val="none" w:sz="0"/>
              <w:bottom w:val="single" w:sz="8" w:color="000000"/>
            </w:tcBorders>
          </w:tcPr>
          <w:p>
            <w:r>
              <w:rPr>
                <w:b/>
              </w:rPr>
              <w:t>CV R2</w:t>
            </w:r>
          </w:p>
        </w:tc>
        <w:tc>
          <w:tcPr>
            <w:tcW w:type="dxa" w:w="2160"/>
            <w:tcBorders>
              <w:top w:val="none" w:sz="0"/>
              <w:left w:val="none" w:sz="0"/>
              <w:right w:val="none" w:sz="0"/>
              <w:bottom w:val="single" w:sz="8" w:color="000000"/>
            </w:tcBorders>
          </w:tcPr>
          <w:p>
            <w:r>
              <w:rPr>
                <w:b/>
              </w:rP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Subset</w:t>
            </w:r>
          </w:p>
        </w:tc>
        <w:tc>
          <w:tcPr>
            <w:tcW w:type="dxa" w:w="2160"/>
            <w:tcBorders>
              <w:top w:val="none" w:sz="0"/>
              <w:left w:val="none" w:sz="0"/>
              <w:right w:val="none" w:sz="0"/>
              <w:bottom w:val="single" w:sz="8" w:color="000000"/>
            </w:tcBorders>
          </w:tcPr>
          <w:p>
            <w:r>
              <w:rPr>
                <w:b/>
              </w:rPr>
              <w:t>n rows</w:t>
            </w:r>
          </w:p>
        </w:tc>
        <w:tc>
          <w:tcPr>
            <w:tcW w:type="dxa" w:w="2160"/>
            <w:tcBorders>
              <w:top w:val="none" w:sz="0"/>
              <w:left w:val="none" w:sz="0"/>
              <w:right w:val="none" w:sz="0"/>
              <w:bottom w:val="single" w:sz="8" w:color="000000"/>
            </w:tcBorders>
          </w:tcPr>
          <w:p>
            <w:r>
              <w:rPr>
                <w:b/>
              </w:rPr>
              <w:t>n studies</w:t>
            </w:r>
          </w:p>
        </w:tc>
        <w:tc>
          <w:tcPr>
            <w:tcW w:type="dxa" w:w="2160"/>
            <w:tcBorders>
              <w:top w:val="none" w:sz="0"/>
              <w:left w:val="none" w:sz="0"/>
              <w:right w:val="none" w:sz="0"/>
              <w:bottom w:val="single" w:sz="8" w:color="000000"/>
            </w:tcBorders>
          </w:tcPr>
          <w:p>
            <w:r>
              <w:rPr>
                <w:b/>
              </w:rPr>
              <w:t>Median MIC (%)</w:t>
            </w:r>
          </w:p>
        </w:tc>
      </w:tr>
      <w:tr>
        <w:tc>
          <w:tcPr>
            <w:tcW w:type="dxa" w:w="2160"/>
          </w:tcPr>
          <w:p>
            <w:r>
              <w:t>Low reporting-concern studies</w:t>
            </w:r>
          </w:p>
        </w:tc>
        <w:tc>
          <w:tcPr>
            <w:tcW w:type="dxa" w:w="2160"/>
          </w:tcPr>
          <w:p>
            <w:r>
              <w:t>512</w:t>
            </w:r>
          </w:p>
        </w:tc>
        <w:tc>
          <w:tcPr>
            <w:tcW w:type="dxa" w:w="2160"/>
          </w:tcPr>
          <w:p>
            <w:r>
              <w:t>8</w:t>
            </w:r>
          </w:p>
        </w:tc>
        <w:tc>
          <w:tcPr>
            <w:tcW w:type="dxa" w:w="2160"/>
          </w:tcPr>
          <w:p>
            <w:r>
              <w:t>16.835</w:t>
            </w:r>
          </w:p>
        </w:tc>
      </w:tr>
      <w:tr>
        <w:tc>
          <w:tcPr>
            <w:tcW w:type="dxa" w:w="2160"/>
          </w:tcPr>
          <w:p>
            <w:r>
              <w:t>Manuka-labelled excluded</w:t>
            </w:r>
          </w:p>
        </w:tc>
        <w:tc>
          <w:tcPr>
            <w:tcW w:type="dxa" w:w="2160"/>
          </w:tcPr>
          <w:p>
            <w:r>
              <w:t>2172</w:t>
            </w:r>
          </w:p>
        </w:tc>
        <w:tc>
          <w:tcPr>
            <w:tcW w:type="dxa" w:w="2160"/>
          </w:tcPr>
          <w:p>
            <w:r>
              <w:t>-</w:t>
            </w:r>
          </w:p>
        </w:tc>
        <w:tc>
          <w:tcPr>
            <w:tcW w:type="dxa" w:w="2160"/>
          </w:tcPr>
          <w:p>
            <w:r>
              <w:t>18.0</w:t>
            </w:r>
          </w:p>
        </w:tc>
      </w:tr>
      <w:tr>
        <w:tc>
          <w:tcPr>
            <w:tcW w:type="dxa" w:w="2160"/>
          </w:tcPr>
          <w:p>
            <w:r>
              <w:t>Manuka-labelled only</w:t>
            </w:r>
          </w:p>
        </w:tc>
        <w:tc>
          <w:tcPr>
            <w:tcW w:type="dxa" w:w="2160"/>
          </w:tcPr>
          <w:p>
            <w:r>
              <w:t>146</w:t>
            </w:r>
          </w:p>
        </w:tc>
        <w:tc>
          <w:tcPr>
            <w:tcW w:type="dxa" w:w="2160"/>
          </w:tcPr>
          <w:p>
            <w:r>
              <w:t>-</w:t>
            </w:r>
          </w:p>
        </w:tc>
        <w:tc>
          <w:tcPr>
            <w:tcW w:type="dxa" w:w="2160"/>
          </w:tcPr>
          <w:p>
            <w:r>
              <w:t>15.0</w:t>
            </w:r>
          </w:p>
        </w:tc>
      </w:tr>
      <w:tr>
        <w:tc>
          <w:tcPr>
            <w:tcW w:type="dxa" w:w="2160"/>
          </w:tcPr>
          <w:p>
            <w:r>
              <w:t>% w/v basis only</w:t>
            </w:r>
          </w:p>
        </w:tc>
        <w:tc>
          <w:tcPr>
            <w:tcW w:type="dxa" w:w="2160"/>
          </w:tcPr>
          <w:p>
            <w:r>
              <w:t>376</w:t>
            </w:r>
          </w:p>
        </w:tc>
        <w:tc>
          <w:tcPr>
            <w:tcW w:type="dxa" w:w="2160"/>
          </w:tcPr>
          <w:p>
            <w:r>
              <w:t>-</w:t>
            </w:r>
          </w:p>
        </w:tc>
        <w:tc>
          <w:tcPr>
            <w:tcW w:type="dxa" w:w="2160"/>
          </w:tcPr>
          <w:p>
            <w:r>
              <w:t>15.0</w:t>
            </w:r>
          </w:p>
        </w:tc>
      </w:tr>
      <w:tr>
        <w:tc>
          <w:tcPr>
            <w:tcW w:type="dxa" w:w="2160"/>
          </w:tcPr>
          <w:p>
            <w:r>
              <w:t>% v/v basis only</w:t>
            </w:r>
          </w:p>
        </w:tc>
        <w:tc>
          <w:tcPr>
            <w:tcW w:type="dxa" w:w="2160"/>
          </w:tcPr>
          <w:p>
            <w:r>
              <w:t>513</w:t>
            </w:r>
          </w:p>
        </w:tc>
        <w:tc>
          <w:tcPr>
            <w:tcW w:type="dxa" w:w="2160"/>
          </w:tcPr>
          <w:p>
            <w:r>
              <w:t>-</w:t>
            </w:r>
          </w:p>
        </w:tc>
        <w:tc>
          <w:tcPr>
            <w:tcW w:type="dxa" w:w="2160"/>
          </w:tcPr>
          <w:p>
            <w:r>
              <w:t>12.5</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2318</w:t>
            </w:r>
          </w:p>
        </w:tc>
        <w:tc>
          <w:tcPr>
            <w:tcW w:type="dxa" w:w="2160"/>
          </w:tcPr>
          <w:p>
            <w:r>
              <w:t>-</w:t>
            </w:r>
          </w:p>
        </w:tc>
        <w:tc>
          <w:tcPr>
            <w:tcW w:type="dxa" w:w="2160"/>
          </w:tcPr>
          <w:p>
            <w:r>
              <w:t>17.5</w:t>
            </w:r>
          </w:p>
        </w:tc>
      </w:tr>
    </w:tbl>
    <w:p/>
    <w:p>
      <w:r>
        <w:t>Leave-one-study-out resampling of the manuka-vs-other MIC contrast returned non-significant results (p &gt; 0.05) in 0% of iterations.</w:t>
      </w:r>
    </w:p>
    <w:p>
      <w:r>
        <w:t>Natural-vs-artificial pairs by study (direction-normalized potency ratio; &gt;1 indicates greater natural-honey activity):</w:t>
      </w:r>
    </w:p>
    <w:p>
      <w:r>
        <w:rPr>
          <w:b/>
        </w:rPr>
        <w:t>Table S10. Natural-vs-artificial potency ratios by study.</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2160"/>
        <w:gridCol w:w="2160"/>
        <w:gridCol w:w="2160"/>
        <w:gridCol w:w="2160"/>
      </w:tblGrid>
      <w:tr>
        <w:trPr>
          <w:tblHeader/>
        </w:trPr>
        <w:tc>
          <w:tcPr>
            <w:tcW w:type="dxa" w:w="2160"/>
            <w:tcBorders>
              <w:top w:val="none" w:sz="0"/>
              <w:left w:val="none" w:sz="0"/>
              <w:right w:val="none" w:sz="0"/>
              <w:bottom w:val="single" w:sz="8" w:color="000000"/>
            </w:tcBorders>
          </w:tcPr>
          <w:p>
            <w:r>
              <w:rPr>
                <w:b/>
              </w:rPr>
              <w:t>Study</w:t>
            </w:r>
          </w:p>
        </w:tc>
        <w:tc>
          <w:tcPr>
            <w:tcW w:type="dxa" w:w="2160"/>
            <w:tcBorders>
              <w:top w:val="none" w:sz="0"/>
              <w:left w:val="none" w:sz="0"/>
              <w:right w:val="none" w:sz="0"/>
              <w:bottom w:val="single" w:sz="8" w:color="000000"/>
            </w:tcBorders>
          </w:tcPr>
          <w:p>
            <w:r>
              <w:rPr>
                <w:b/>
              </w:rPr>
              <w:t>Outcome</w:t>
            </w:r>
          </w:p>
        </w:tc>
        <w:tc>
          <w:tcPr>
            <w:tcW w:type="dxa" w:w="2160"/>
            <w:tcBorders>
              <w:top w:val="none" w:sz="0"/>
              <w:left w:val="none" w:sz="0"/>
              <w:right w:val="none" w:sz="0"/>
              <w:bottom w:val="single" w:sz="8" w:color="000000"/>
            </w:tcBorders>
          </w:tcPr>
          <w:p>
            <w:r>
              <w:rPr>
                <w:b/>
              </w:rPr>
              <w:t>n pairs</w:t>
            </w:r>
          </w:p>
        </w:tc>
        <w:tc>
          <w:tcPr>
            <w:tcW w:type="dxa" w:w="2160"/>
            <w:tcBorders>
              <w:top w:val="none" w:sz="0"/>
              <w:left w:val="none" w:sz="0"/>
              <w:right w:val="none" w:sz="0"/>
              <w:bottom w:val="single" w:sz="8" w:color="000000"/>
            </w:tcBorders>
          </w:tcPr>
          <w:p>
            <w:r>
              <w:rPr>
                <w:b/>
              </w:rP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PMC13460517</w:t>
            </w:r>
          </w:p>
        </w:tc>
        <w:tc>
          <w:tcPr>
            <w:tcW w:type="dxa" w:w="2160"/>
          </w:tcPr>
          <w:p>
            <w:r>
              <w:t>MIC</w:t>
            </w:r>
          </w:p>
        </w:tc>
        <w:tc>
          <w:tcPr>
            <w:tcW w:type="dxa" w:w="2160"/>
          </w:tcPr>
          <w:p>
            <w:r>
              <w:t>4</w:t>
            </w:r>
          </w:p>
        </w:tc>
        <w:tc>
          <w:tcPr>
            <w:tcW w:type="dxa" w:w="2160"/>
          </w:tcPr>
          <w:p>
            <w:r>
              <w:t>1.95</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100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4320"/>
        <w:gridCol w:w="4320"/>
      </w:tblGrid>
      <w:tr>
        <w:trPr>
          <w:tblHeader/>
        </w:trPr>
        <w:tc>
          <w:tcPr>
            <w:tcW w:type="dxa" w:w="4320"/>
            <w:tcBorders>
              <w:top w:val="none" w:sz="0"/>
              <w:left w:val="none" w:sz="0"/>
              <w:right w:val="none" w:sz="0"/>
              <w:bottom w:val="single" w:sz="8" w:color="000000"/>
            </w:tcBorders>
          </w:tcPr>
          <w:p>
            <w:r>
              <w:rPr>
                <w:b/>
              </w:rPr>
              <w:t>#</w:t>
            </w:r>
          </w:p>
        </w:tc>
        <w:tc>
          <w:tcPr>
            <w:tcW w:type="dxa" w:w="4320"/>
            <w:tcBorders>
              <w:top w:val="none" w:sz="0"/>
              <w:left w:val="none" w:sz="0"/>
              <w:right w:val="none" w:sz="0"/>
              <w:bottom w:val="single" w:sz="8" w:color="000000"/>
            </w:tcBorders>
          </w:tcPr>
          <w:p>
            <w:r>
              <w:rPr>
                <w:b/>
              </w:rPr>
              <w:t>Reference</w:t>
            </w:r>
          </w:p>
        </w:tc>
      </w:tr>
      <w:tr>
        <w:tc>
          <w:tcPr>
            <w:tcW w:type="dxa" w:w="4320"/>
          </w:tcPr>
          <w:p>
            <w:r>
              <w:t>1</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2</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3</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4</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5</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6</w:t>
            </w:r>
          </w:p>
        </w:tc>
        <w:tc>
          <w:tcPr>
            <w:tcW w:type="dxa" w:w="4320"/>
          </w:tcPr>
          <w:p>
            <w:r>
              <w:t>Allcott, G.J., Evans, J., Merry, T.L., Cox, J.A.G. (2026). Unique Mānuka Factor (UMF)-dependent antimicrobial activity of Mānuka honey against respiratory pathogens cannot be explained by sugar and methylglyoxal alone. Microbiology, 172(8). https://doi.org/10.1099/mic.0.001746</w:t>
            </w:r>
          </w:p>
        </w:tc>
      </w:tr>
      <w:tr>
        <w:tc>
          <w:tcPr>
            <w:tcW w:type="dxa" w:w="4320"/>
          </w:tcPr>
          <w:p>
            <w:r>
              <w:t>7</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8</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9</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10</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11</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12</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13</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14</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15</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16</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17</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18</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19</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20</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21</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22</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23</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24</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25</w:t>
            </w:r>
          </w:p>
        </w:tc>
        <w:tc>
          <w:tcPr>
            <w:tcW w:type="dxa" w:w="4320"/>
          </w:tcPr>
          <w:p>
            <w:r>
              <w:t>Brudzynski, K., Lannigan, R. (2012). Mechanism of Honey Bacteriostatic Action Against MRSA and VRE Involves Hydroxyl Radicals Generated from Honey’s Hydrogen Peroxide. Frontiers in Microbiology, 3. https://doi.org/10.3389/fmicb.2012.00036</w:t>
            </w:r>
          </w:p>
        </w:tc>
      </w:tr>
      <w:tr>
        <w:tc>
          <w:tcPr>
            <w:tcW w:type="dxa" w:w="4320"/>
          </w:tcPr>
          <w:p>
            <w:r>
              <w:t>26</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27</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28</w:t>
            </w:r>
          </w:p>
        </w:tc>
        <w:tc>
          <w:tcPr>
            <w:tcW w:type="dxa" w:w="4320"/>
          </w:tcPr>
          <w:p>
            <w:r>
              <w:t>Bucekova, M., Godocikova, J., Gueyte, R., Chambrey, C., Majtan, J. (2023). Characterisation of physicochemical parameters and antibacterial properties of New Caledonian honeys. PLOS ONE, 18(10), e0293730. https://doi.org/10.1371/journal.pone.0293730</w:t>
            </w:r>
          </w:p>
        </w:tc>
      </w:tr>
      <w:tr>
        <w:tc>
          <w:tcPr>
            <w:tcW w:type="dxa" w:w="4320"/>
          </w:tcPr>
          <w:p>
            <w:r>
              <w:t>29</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30</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31</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32</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33</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34</w:t>
            </w:r>
          </w:p>
        </w:tc>
        <w:tc>
          <w:tcPr>
            <w:tcW w:type="dxa" w:w="4320"/>
          </w:tcPr>
          <w:p>
            <w:r>
              <w:t>Dinat, S., Orchard, A., Allsopp, M., van Vuuren, S. (2026). South African Honey: Anti‐ Helicobacter pylori Activity and Combined Effect With the Gut Microbiome. International Journal of Food Science, 2026(1), 9085243. https://doi.org/10.1155/ijfo/9085243</w:t>
            </w:r>
          </w:p>
        </w:tc>
      </w:tr>
      <w:tr>
        <w:tc>
          <w:tcPr>
            <w:tcW w:type="dxa" w:w="4320"/>
          </w:tcPr>
          <w:p>
            <w:r>
              <w:t>35</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36</w:t>
            </w:r>
          </w:p>
        </w:tc>
        <w:tc>
          <w:tcPr>
            <w:tcW w:type="dxa" w:w="4320"/>
          </w:tcPr>
          <w:p>
            <w:r>
              <w:t>Ejaz, H., Sultan, M., Qamar, M.U., Junaid, K., Rasool, N., Alanazi, A., Alruways, M.W., Mazhari, B.B.Z., Alruwaili, Y., Bukhari, S.N.A., Younas, S. (2023). Antibacterial efficacy of indigenous Pakistani honey against extensively drug-resistant clinical isolates of Salmonella enterica serovar Typhi: an alternative option to combat antimicrobial resistance. BMC Complementary Medicine and Therapies, 23(1), 42. https://doi.org/10.1186/s12906-023-03870-8</w:t>
            </w:r>
          </w:p>
        </w:tc>
      </w:tr>
      <w:tr>
        <w:tc>
          <w:tcPr>
            <w:tcW w:type="dxa" w:w="4320"/>
          </w:tcPr>
          <w:p>
            <w:r>
              <w:t>37</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38</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39</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40</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41</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42</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43</w:t>
            </w:r>
          </w:p>
        </w:tc>
        <w:tc>
          <w:tcPr>
            <w:tcW w:type="dxa" w:w="4320"/>
          </w:tcPr>
          <w:p>
            <w:r>
              <w:t>Girma, A., Seo, W., She, R.C. (2019). Antibacterial activity of varying UMF-graded Manuka honeys. PLOS ONE, 14(10), e0224495. https://doi.org/10.1371/journal.pone.0224495</w:t>
            </w:r>
          </w:p>
        </w:tc>
      </w:tr>
      <w:tr>
        <w:tc>
          <w:tcPr>
            <w:tcW w:type="dxa" w:w="4320"/>
          </w:tcPr>
          <w:p>
            <w:r>
              <w:t>44</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45</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46</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47</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48</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49</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50</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51</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52</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53</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54</w:t>
            </w:r>
          </w:p>
        </w:tc>
        <w:tc>
          <w:tcPr>
            <w:tcW w:type="dxa" w:w="4320"/>
          </w:tcPr>
          <w:p>
            <w:r>
              <w:t>Hussain, M.B., Hannan, A., Akhtar, N., Fayyaz, G.Q., Imran, M., Saleem, S., Qureshi, I.A. (2015). Evaluation of the antibacterial activity of selected Pakistani honeys against multi-drug resistant Salmonella typhi. BMC Complementary and Alternative Medicine, 15(1), 32. https://doi.org/10.1186/s12906-015-0549-z</w:t>
            </w:r>
          </w:p>
        </w:tc>
      </w:tr>
      <w:tr>
        <w:tc>
          <w:tcPr>
            <w:tcW w:type="dxa" w:w="4320"/>
          </w:tcPr>
          <w:p>
            <w:r>
              <w:t>55</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56</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57</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58</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59</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60</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61</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62</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63</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64</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65</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66</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67</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68</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69</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70</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71</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72</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73</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74</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75</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76</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77</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78</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79</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80</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81</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82</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83</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84</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85</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86</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87</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88</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89</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90</w:t>
            </w:r>
          </w:p>
        </w:tc>
        <w:tc>
          <w:tcPr>
            <w:tcW w:type="dxa" w:w="4320"/>
          </w:tcPr>
          <w:p>
            <w:r>
              <w:t>Thierig, M., Raupbach, J., Wolf, D., Mascher, T., Subramanian, K., Henle, T. (2023). 3-Phenyllactic Acid and Polyphenols Are Substances Enhancing the Antibacterial Effect of Methylglyoxal in Manuka Honey. Foods, 12(5), 1098. https://doi.org/10.3390/foods12051098</w:t>
            </w:r>
          </w:p>
        </w:tc>
      </w:tr>
      <w:tr>
        <w:tc>
          <w:tcPr>
            <w:tcW w:type="dxa" w:w="4320"/>
          </w:tcPr>
          <w:p>
            <w:r>
              <w:t>91</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92</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93</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94</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95</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96</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97</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98</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99</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100</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p>
      <w:pPr>
        <w:pStyle w:val="Heading2"/>
      </w:pPr>
      <w:r>
        <w:t>S8. Study selection flow and paired-contrast summary</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Supplementary Fig. S1. </w:t>
      </w:r>
      <w:r>
        <w:t>PRISMA 2020-style flow of study identification, screening, eligibility and quantitative extraction.</w:t>
      </w:r>
    </w:p>
    <w:p/>
    <w:p>
      <w:r>
        <w:rPr>
          <w:b/>
        </w:rPr>
        <w:t>Table S12. Paired evidence for mechanistic contrasts. Potency ratio &gt; 1 indicates greater natural-honey activity (zone: natural/artificial; MIC: artificial/natural). MGO, methylglyoxal; MIC, minimum inhibitory concentration.</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Contrast</w:t>
            </w:r>
          </w:p>
        </w:tc>
        <w:tc>
          <w:tcPr>
            <w:tcW w:type="dxa" w:w="1728"/>
            <w:tcBorders>
              <w:top w:val="none" w:sz="0"/>
              <w:left w:val="none" w:sz="0"/>
              <w:right w:val="none" w:sz="0"/>
              <w:bottom w:val="single" w:sz="8" w:color="000000"/>
            </w:tcBorders>
          </w:tcPr>
          <w:p>
            <w:r>
              <w:rPr>
                <w:b/>
              </w:rPr>
              <w:t>n pairs/obs</w:t>
            </w:r>
          </w:p>
        </w:tc>
        <w:tc>
          <w:tcPr>
            <w:tcW w:type="dxa" w:w="1728"/>
            <w:tcBorders>
              <w:top w:val="none" w:sz="0"/>
              <w:left w:val="none" w:sz="0"/>
              <w:right w:val="none" w:sz="0"/>
              <w:bottom w:val="single" w:sz="8" w:color="000000"/>
            </w:tcBorders>
          </w:tcPr>
          <w:p>
            <w:r>
              <w:rPr>
                <w:b/>
              </w:rPr>
              <w:t>n studies</w:t>
            </w:r>
          </w:p>
        </w:tc>
        <w:tc>
          <w:tcPr>
            <w:tcW w:type="dxa" w:w="1728"/>
            <w:tcBorders>
              <w:top w:val="none" w:sz="0"/>
              <w:left w:val="none" w:sz="0"/>
              <w:right w:val="none" w:sz="0"/>
              <w:bottom w:val="single" w:sz="8" w:color="000000"/>
            </w:tcBorders>
          </w:tcPr>
          <w:p>
            <w:r>
              <w:rPr>
                <w:b/>
              </w:rPr>
              <w:t>Effect</w:t>
            </w:r>
          </w:p>
        </w:tc>
        <w:tc>
          <w:tcPr>
            <w:tcW w:type="dxa" w:w="1728"/>
            <w:tcBorders>
              <w:top w:val="none" w:sz="0"/>
              <w:left w:val="none" w:sz="0"/>
              <w:right w:val="none" w:sz="0"/>
              <w:bottom w:val="single" w:sz="8" w:color="000000"/>
            </w:tcBorders>
          </w:tcPr>
          <w:p>
            <w:r>
              <w:rPr>
                <w:b/>
              </w:rPr>
              <w:t>p value</w:t>
            </w:r>
          </w:p>
        </w:tc>
      </w:tr>
      <w:tr>
        <w:tc>
          <w:tcPr>
            <w:tcW w:type="dxa" w:w="1728"/>
          </w:tcPr>
          <w:p>
            <w:r>
              <w:t>Natural vs artificial honey, MIC potency ratio (study level)</w:t>
            </w:r>
          </w:p>
        </w:tc>
        <w:tc>
          <w:tcPr>
            <w:tcW w:type="dxa" w:w="1728"/>
          </w:tcPr>
          <w:p>
            <w:r>
              <w:t>12</w:t>
            </w:r>
          </w:p>
        </w:tc>
        <w:tc>
          <w:tcPr>
            <w:tcW w:type="dxa" w:w="1728"/>
          </w:tcPr>
          <w:p>
            <w:r>
              <w:t>5</w:t>
            </w:r>
          </w:p>
        </w:tc>
        <w:tc>
          <w:tcPr>
            <w:tcW w:type="dxa" w:w="1728"/>
          </w:tcPr>
          <w:p>
            <w:r>
              <w:t>median ratio 1.81; all study medians &gt; 1</w:t>
            </w:r>
          </w:p>
        </w:tc>
        <w:tc>
          <w:tcPr>
            <w:tcW w:type="dxa" w:w="1728"/>
          </w:tcPr>
          <w:p>
            <w:r>
              <w:t>0.062</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 positive in both studies</w:t>
            </w:r>
          </w:p>
        </w:tc>
        <w:tc>
          <w:tcPr>
            <w:tcW w:type="dxa" w:w="1728"/>
          </w:tcPr>
          <w:p>
            <w:r>
              <w:t>-</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