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[Date]</w:t>
      </w:r>
    </w:p>
    <w:p/>
    <w:p>
      <w:r>
        <w:t>Dear Editors,</w:t>
      </w:r>
    </w:p>
    <w:p/>
    <w:p>
      <w:r>
        <w:t>We submit our manuscript entitled "Dilution-Dependent Antibacterial Mechanisms of Honey: A Systematic Review and Cross-Study Quantitative Evidence Synthesis" for consideration in Antibiotics.</w:t>
      </w:r>
    </w:p>
    <w:p>
      <w:r>
        <w:t>Honey's antibacterial activity is frequently assayed at high concentration, yet its component mechanisms respond differently to dilution: osmotic and acidity constraints weaken, whereas enzymatic hydrogen peroxide production can increase. Whether the dominant mechanism shifts with dilution has remained unclear because individual studies rarely measure all mechanisms across a concentration gradient. We synthesized this question across the published literature: a reproducible multi-database search (4,042 records, 412 eligible studies) with structured extraction from 103 open-access full texts yielded 5,026 harmonized observations spanning antibacterial endpoints and physicochemical parameters, each with full provenance.</w:t>
      </w:r>
    </w:p>
    <w:p>
      <w:r>
        <w:t>Key findings: extractable concentration-response series were uniformly positive (10/10); natural honey modestly but consistently outperformed sugar-equivalent controls; catalase-treated honey retained a median 92% of activity, indicating substantial non-peroxide mechanisms; methylglyoxal correlated inversely with MIC within the largest single-study block; and measured chemistry predicted antibacterial outcomes better than honey-type labels. We identify dilution-resolved peroxide measurement paired with antibacterial endpoints as a clear evidence gap.</w:t>
      </w:r>
    </w:p>
    <w:p>
      <w:r>
        <w:t>The manuscript is accompanied by a full reproducible pipeline: raw search records, screening decisions, extraction code, the harmonized dataset with row-level provenance, a documented risk-of-bias framework, all analysis scripts, and figure-generation code.</w:t>
      </w:r>
    </w:p>
    <w:p>
      <w:r>
        <w:t>This manuscript is original, has not been published previously, and is not under consideration elsewhere. All data derive from previously published public sources. The authors declare no conflicts of interest.</w:t>
      </w:r>
    </w:p>
    <w:p/>
    <w:p>
      <w:r>
        <w:t>Sincerely,</w:t>
      </w:r>
    </w:p>
    <w:p>
      <w:r>
        <w:t>[Corresponding Author]</w:t>
      </w:r>
    </w:p>
    <w:p>
      <w:r>
        <w:t>[Affiliation]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